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27" w:rsidRDefault="00F87C51" w:rsidP="00F87C51">
      <w:pPr>
        <w:pStyle w:val="Overskrift2"/>
      </w:pPr>
      <w:proofErr w:type="spellStart"/>
      <w:r>
        <w:t>Evaluating</w:t>
      </w:r>
      <w:proofErr w:type="spellEnd"/>
      <w:r>
        <w:t xml:space="preserve"> policy </w:t>
      </w:r>
      <w:proofErr w:type="spellStart"/>
      <w:r>
        <w:t>actions</w:t>
      </w:r>
      <w:proofErr w:type="spellEnd"/>
    </w:p>
    <w:p w:rsidR="00F87C51" w:rsidRPr="00F87C51" w:rsidRDefault="00F87C51">
      <w:pPr>
        <w:rPr>
          <w:szCs w:val="24"/>
        </w:rPr>
      </w:pPr>
    </w:p>
    <w:p w:rsidR="00F87C51" w:rsidRPr="00F87C51" w:rsidRDefault="00F87C51" w:rsidP="00F87C51">
      <w:pPr>
        <w:spacing w:before="200" w:after="200" w:line="276" w:lineRule="auto"/>
        <w:contextualSpacing/>
        <w:jc w:val="both"/>
        <w:rPr>
          <w:szCs w:val="24"/>
          <w:lang w:val="en-US" w:eastAsia="en-US"/>
        </w:rPr>
      </w:pPr>
      <w:r w:rsidRPr="00F87C51">
        <w:rPr>
          <w:szCs w:val="24"/>
          <w:lang w:val="en-US" w:eastAsia="en-US"/>
        </w:rPr>
        <w:t>For the sake of the evaluation approach, alignment is defined as the end-state on selected variables or efforts of coordination, while coordination will mean the different actions supposed to lead to better alignment</w:t>
      </w:r>
      <w:r w:rsidRPr="00F87C51">
        <w:rPr>
          <w:szCs w:val="24"/>
          <w:lang w:val="en-US" w:eastAsia="en-US"/>
        </w:rPr>
        <w:t>. A</w:t>
      </w:r>
      <w:r w:rsidRPr="00F87C51">
        <w:rPr>
          <w:szCs w:val="24"/>
          <w:lang w:val="en-US" w:eastAsia="en-US"/>
        </w:rPr>
        <w:t xml:space="preserve">lignment can be achieved on different levels pursuing different types of coordination actions. For JPI Oceans it is crucial to reach an optimal level of alignment in the overall system: </w:t>
      </w:r>
    </w:p>
    <w:p w:rsidR="00F87C51" w:rsidRPr="00F87C51" w:rsidRDefault="00F87C51" w:rsidP="00F87C51">
      <w:pPr>
        <w:spacing w:before="200" w:after="200" w:line="276" w:lineRule="auto"/>
        <w:contextualSpacing/>
        <w:jc w:val="both"/>
        <w:rPr>
          <w:szCs w:val="24"/>
          <w:lang w:val="en-US" w:eastAsia="en-US"/>
        </w:rPr>
      </w:pPr>
    </w:p>
    <w:p w:rsidR="00F87C51" w:rsidRPr="00F87C51" w:rsidRDefault="00F87C51" w:rsidP="00F87C51">
      <w:pPr>
        <w:numPr>
          <w:ilvl w:val="0"/>
          <w:numId w:val="1"/>
        </w:numPr>
        <w:spacing w:before="200" w:after="200" w:line="276" w:lineRule="auto"/>
        <w:contextualSpacing/>
        <w:jc w:val="both"/>
        <w:rPr>
          <w:szCs w:val="24"/>
          <w:lang w:val="en-US" w:eastAsia="en-US"/>
        </w:rPr>
      </w:pPr>
      <w:r w:rsidRPr="00F87C51">
        <w:rPr>
          <w:szCs w:val="24"/>
          <w:lang w:val="en-US" w:eastAsia="en-US"/>
        </w:rPr>
        <w:t>Alignment between Oceans-related ministries and agencies in the partner countries</w:t>
      </w:r>
    </w:p>
    <w:p w:rsidR="00F87C51" w:rsidRPr="00F87C51" w:rsidRDefault="00F87C51" w:rsidP="00F87C51">
      <w:pPr>
        <w:numPr>
          <w:ilvl w:val="0"/>
          <w:numId w:val="1"/>
        </w:numPr>
        <w:spacing w:before="200" w:after="200" w:line="276" w:lineRule="auto"/>
        <w:contextualSpacing/>
        <w:jc w:val="both"/>
        <w:rPr>
          <w:szCs w:val="24"/>
          <w:lang w:val="en-US" w:eastAsia="en-US"/>
        </w:rPr>
      </w:pPr>
      <w:r w:rsidRPr="00F87C51">
        <w:rPr>
          <w:szCs w:val="24"/>
          <w:lang w:val="en-US" w:eastAsia="en-US"/>
        </w:rPr>
        <w:t>Alignment between the policies and priorities between the partner countries</w:t>
      </w:r>
    </w:p>
    <w:p w:rsidR="00F87C51" w:rsidRPr="00F87C51" w:rsidRDefault="00F87C51" w:rsidP="00F87C51">
      <w:pPr>
        <w:spacing w:before="200" w:after="200" w:line="276" w:lineRule="auto"/>
        <w:jc w:val="both"/>
        <w:rPr>
          <w:szCs w:val="24"/>
          <w:lang w:val="en-US" w:eastAsia="en-US"/>
        </w:rPr>
      </w:pPr>
    </w:p>
    <w:p w:rsidR="00F87C51" w:rsidRPr="00F87C51" w:rsidRDefault="00F87C51" w:rsidP="00F87C51">
      <w:pPr>
        <w:spacing w:before="200" w:after="200" w:line="276" w:lineRule="auto"/>
        <w:jc w:val="both"/>
        <w:rPr>
          <w:szCs w:val="24"/>
          <w:lang w:val="en-US" w:eastAsia="en-US"/>
        </w:rPr>
      </w:pPr>
      <w:r w:rsidRPr="00F87C51">
        <w:rPr>
          <w:szCs w:val="24"/>
          <w:lang w:val="en-US" w:eastAsia="en-US"/>
        </w:rPr>
        <w:t>For JPI Oceans, the main alignment objective is not to reach maximum integration, i.e. all relevant marine and maritime research and innovation efforts to be conducted through a highly integrated strategic agenda. Rather, and this will be a key evaluation issue, it will be to reach an optimal level of alignment, with appropriate attention to and successful efforts on the lower parts of the scale.</w:t>
      </w:r>
    </w:p>
    <w:p w:rsidR="00F87C51" w:rsidRPr="00F87C51" w:rsidRDefault="00F87C51" w:rsidP="00F87C51">
      <w:pPr>
        <w:spacing w:before="200" w:after="200" w:line="276" w:lineRule="auto"/>
        <w:jc w:val="both"/>
        <w:rPr>
          <w:szCs w:val="24"/>
          <w:lang w:val="en-US" w:eastAsia="en-US"/>
        </w:rPr>
      </w:pPr>
      <w:r w:rsidRPr="00F87C51">
        <w:rPr>
          <w:szCs w:val="24"/>
          <w:lang w:val="en-US" w:eastAsia="en-US"/>
        </w:rPr>
        <w:t>The scale illustrates the very types of processes JPI has to conduct to achieve a balanced alignment, i.e. alignment with acceptable transaction costs. The evaluation should include a focus on all the steps with attention to how the JPI is able to identify and initiate concerted coordination across the scale. In terms of transaction costs, it should be noted that the more coordination can be ensured on the lower end of the scale, the less costly it will be. But to ease the evaluation set-up for JPI Oceans, a simplified scale is presented below, transferred to the reality of JPI Oceans and in line with the subsequent evaluation recommendations in this document.</w:t>
      </w:r>
    </w:p>
    <w:p w:rsidR="00F87C51" w:rsidRPr="00F87C51" w:rsidRDefault="00F87C51" w:rsidP="00F87C51">
      <w:pPr>
        <w:spacing w:before="200" w:after="200" w:line="276" w:lineRule="auto"/>
        <w:jc w:val="both"/>
        <w:rPr>
          <w:b/>
          <w:szCs w:val="24"/>
          <w:lang w:val="en-US" w:eastAsia="en-US"/>
        </w:rPr>
      </w:pPr>
      <w:r w:rsidRPr="00F87C51">
        <w:rPr>
          <w:b/>
          <w:szCs w:val="24"/>
          <w:lang w:val="en-US" w:eastAsia="en-US"/>
        </w:rPr>
        <w:t>Coordination and alignment actions for JPI Oceans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71"/>
      </w:tblGrid>
      <w:tr w:rsidR="00F87C51" w:rsidRPr="00F87C51" w:rsidTr="0086107E">
        <w:tc>
          <w:tcPr>
            <w:tcW w:w="3070" w:type="dxa"/>
          </w:tcPr>
          <w:p w:rsidR="00F87C51" w:rsidRPr="00F87C51" w:rsidRDefault="00F87C51" w:rsidP="00F87C51">
            <w:pPr>
              <w:jc w:val="both"/>
              <w:rPr>
                <w:szCs w:val="24"/>
                <w:lang w:val="en-US" w:eastAsia="en-US"/>
              </w:rPr>
            </w:pPr>
            <w:r w:rsidRPr="00F87C51">
              <w:rPr>
                <w:szCs w:val="24"/>
                <w:lang w:val="en-US" w:eastAsia="en-US"/>
              </w:rPr>
              <w:t>Optional actions</w:t>
            </w:r>
          </w:p>
        </w:tc>
        <w:tc>
          <w:tcPr>
            <w:tcW w:w="3071" w:type="dxa"/>
          </w:tcPr>
          <w:p w:rsidR="00F87C51" w:rsidRPr="00F87C51" w:rsidRDefault="00F87C51" w:rsidP="00F87C51">
            <w:pPr>
              <w:jc w:val="both"/>
              <w:rPr>
                <w:szCs w:val="24"/>
                <w:lang w:val="en-US" w:eastAsia="en-US"/>
              </w:rPr>
            </w:pPr>
            <w:r w:rsidRPr="00F87C51">
              <w:rPr>
                <w:szCs w:val="24"/>
                <w:lang w:val="en-US" w:eastAsia="en-US"/>
              </w:rPr>
              <w:t>Issues</w:t>
            </w:r>
          </w:p>
        </w:tc>
        <w:tc>
          <w:tcPr>
            <w:tcW w:w="3071" w:type="dxa"/>
          </w:tcPr>
          <w:p w:rsidR="00F87C51" w:rsidRPr="00F87C51" w:rsidRDefault="00F87C51" w:rsidP="00F87C51">
            <w:pPr>
              <w:jc w:val="both"/>
              <w:rPr>
                <w:szCs w:val="24"/>
                <w:lang w:val="en-US" w:eastAsia="en-US"/>
              </w:rPr>
            </w:pPr>
            <w:r w:rsidRPr="00F87C51">
              <w:rPr>
                <w:szCs w:val="24"/>
                <w:lang w:val="en-US" w:eastAsia="en-US"/>
              </w:rPr>
              <w:t>Indicator example</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Overall joint strategy</w:t>
            </w:r>
          </w:p>
        </w:tc>
        <w:tc>
          <w:tcPr>
            <w:tcW w:w="3071" w:type="dxa"/>
          </w:tcPr>
          <w:p w:rsidR="00F87C51" w:rsidRPr="00F87C51" w:rsidRDefault="00F87C51" w:rsidP="00F87C51">
            <w:pPr>
              <w:rPr>
                <w:szCs w:val="24"/>
                <w:lang w:val="en-US" w:eastAsia="en-US"/>
              </w:rPr>
            </w:pPr>
            <w:r w:rsidRPr="00F87C51">
              <w:rPr>
                <w:szCs w:val="24"/>
                <w:lang w:val="en-US" w:eastAsia="en-US"/>
              </w:rPr>
              <w:t xml:space="preserve">High degree of complexity in JPI Oceans, and not advisable on that level? </w:t>
            </w:r>
          </w:p>
        </w:tc>
        <w:tc>
          <w:tcPr>
            <w:tcW w:w="3071" w:type="dxa"/>
          </w:tcPr>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Joint strategy achieved in selected areas</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Establishing joint priorities</w:t>
            </w:r>
          </w:p>
        </w:tc>
        <w:tc>
          <w:tcPr>
            <w:tcW w:w="3071" w:type="dxa"/>
          </w:tcPr>
          <w:p w:rsidR="00F87C51" w:rsidRPr="00F87C51" w:rsidRDefault="00F87C51" w:rsidP="00F87C51">
            <w:pPr>
              <w:rPr>
                <w:szCs w:val="24"/>
                <w:lang w:val="en-US" w:eastAsia="en-US"/>
              </w:rPr>
            </w:pPr>
            <w:r w:rsidRPr="00F87C51">
              <w:rPr>
                <w:szCs w:val="24"/>
                <w:lang w:val="en-US" w:eastAsia="en-US"/>
              </w:rPr>
              <w:t xml:space="preserve">Synergies may be reached </w:t>
            </w:r>
          </w:p>
        </w:tc>
        <w:tc>
          <w:tcPr>
            <w:tcW w:w="3071" w:type="dxa"/>
          </w:tcPr>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Visible joint priorities across JPI partner countries across sectors, disciplines and countries</w:t>
            </w:r>
          </w:p>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Effective national implementation</w:t>
            </w:r>
          </w:p>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Institutional/budgetary synergies</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Setting mutual parameters</w:t>
            </w:r>
          </w:p>
        </w:tc>
        <w:tc>
          <w:tcPr>
            <w:tcW w:w="3071" w:type="dxa"/>
          </w:tcPr>
          <w:p w:rsidR="00F87C51" w:rsidRPr="00F87C51" w:rsidRDefault="00F87C51" w:rsidP="00F87C51">
            <w:pPr>
              <w:rPr>
                <w:szCs w:val="24"/>
                <w:lang w:val="en-US" w:eastAsia="en-US"/>
              </w:rPr>
            </w:pPr>
            <w:r w:rsidRPr="00F87C51">
              <w:rPr>
                <w:szCs w:val="24"/>
                <w:lang w:val="en-US" w:eastAsia="en-US"/>
              </w:rPr>
              <w:t>Negative coordination</w:t>
            </w:r>
          </w:p>
        </w:tc>
        <w:tc>
          <w:tcPr>
            <w:tcW w:w="3071" w:type="dxa"/>
          </w:tcPr>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 xml:space="preserve">Agreement between JPI partners on refraining from action or activity </w:t>
            </w:r>
            <w:r w:rsidRPr="00F87C51">
              <w:rPr>
                <w:szCs w:val="24"/>
                <w:lang w:val="en-US" w:eastAsia="en-US"/>
              </w:rPr>
              <w:lastRenderedPageBreak/>
              <w:t>and areas of control for others</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lastRenderedPageBreak/>
              <w:t>Arbitration of intergovernmental differences</w:t>
            </w:r>
          </w:p>
        </w:tc>
        <w:tc>
          <w:tcPr>
            <w:tcW w:w="3071" w:type="dxa"/>
          </w:tcPr>
          <w:p w:rsidR="00F87C51" w:rsidRPr="00F87C51" w:rsidRDefault="00F87C51" w:rsidP="00F87C51">
            <w:pPr>
              <w:rPr>
                <w:szCs w:val="24"/>
                <w:lang w:val="en-US" w:eastAsia="en-US"/>
              </w:rPr>
            </w:pPr>
            <w:r w:rsidRPr="00F87C51">
              <w:rPr>
                <w:szCs w:val="24"/>
                <w:lang w:val="en-US" w:eastAsia="en-US"/>
              </w:rPr>
              <w:t>Effectiveness of governance bodies in JPI Oceans</w:t>
            </w:r>
          </w:p>
        </w:tc>
        <w:tc>
          <w:tcPr>
            <w:tcW w:w="3071" w:type="dxa"/>
          </w:tcPr>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Absence of open conflicts</w:t>
            </w:r>
          </w:p>
          <w:p w:rsidR="00F87C51" w:rsidRPr="00F87C51" w:rsidRDefault="00F87C51" w:rsidP="00F87C51">
            <w:pPr>
              <w:numPr>
                <w:ilvl w:val="0"/>
                <w:numId w:val="2"/>
              </w:numPr>
              <w:spacing w:before="200" w:after="200" w:line="276" w:lineRule="auto"/>
              <w:contextualSpacing/>
              <w:rPr>
                <w:szCs w:val="24"/>
                <w:lang w:val="en-US" w:eastAsia="en-US"/>
              </w:rPr>
            </w:pPr>
            <w:r w:rsidRPr="00F87C51">
              <w:rPr>
                <w:szCs w:val="24"/>
                <w:lang w:val="en-US" w:eastAsia="en-US"/>
              </w:rPr>
              <w:t>Consensus on division of labor</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Intergovernmental search for agreement</w:t>
            </w:r>
          </w:p>
        </w:tc>
        <w:tc>
          <w:tcPr>
            <w:tcW w:w="3071" w:type="dxa"/>
          </w:tcPr>
          <w:p w:rsidR="00F87C51" w:rsidRPr="00F87C51" w:rsidRDefault="00F87C51" w:rsidP="00F87C51">
            <w:pPr>
              <w:rPr>
                <w:szCs w:val="24"/>
                <w:lang w:val="en-US" w:eastAsia="en-US"/>
              </w:rPr>
            </w:pPr>
            <w:r w:rsidRPr="00F87C51">
              <w:rPr>
                <w:szCs w:val="24"/>
                <w:lang w:val="en-US" w:eastAsia="en-US"/>
              </w:rPr>
              <w:t>Structured cooperation in governance bodies</w:t>
            </w:r>
          </w:p>
        </w:tc>
        <w:tc>
          <w:tcPr>
            <w:tcW w:w="3071" w:type="dxa"/>
          </w:tcPr>
          <w:p w:rsidR="00F87C51" w:rsidRPr="00F87C51" w:rsidRDefault="00F87C51" w:rsidP="00F87C51">
            <w:pPr>
              <w:numPr>
                <w:ilvl w:val="0"/>
                <w:numId w:val="3"/>
              </w:numPr>
              <w:spacing w:before="200" w:after="200" w:line="276" w:lineRule="auto"/>
              <w:contextualSpacing/>
              <w:rPr>
                <w:szCs w:val="24"/>
                <w:lang w:val="en-US" w:eastAsia="en-US"/>
              </w:rPr>
            </w:pPr>
            <w:r w:rsidRPr="00F87C51">
              <w:rPr>
                <w:szCs w:val="24"/>
                <w:lang w:val="en-US" w:eastAsia="en-US"/>
              </w:rPr>
              <w:t>Effective procedures</w:t>
            </w:r>
          </w:p>
          <w:p w:rsidR="00F87C51" w:rsidRPr="00F87C51" w:rsidRDefault="00F87C51" w:rsidP="00F87C51">
            <w:pPr>
              <w:numPr>
                <w:ilvl w:val="0"/>
                <w:numId w:val="3"/>
              </w:numPr>
              <w:spacing w:before="200" w:after="200" w:line="276" w:lineRule="auto"/>
              <w:contextualSpacing/>
              <w:rPr>
                <w:szCs w:val="24"/>
                <w:lang w:val="en-US" w:eastAsia="en-US"/>
              </w:rPr>
            </w:pPr>
            <w:r w:rsidRPr="00F87C51">
              <w:rPr>
                <w:szCs w:val="24"/>
                <w:lang w:val="en-US" w:eastAsia="en-US"/>
              </w:rPr>
              <w:t>Low levels of opportunism</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Avoiding divergences among countries/agencies</w:t>
            </w:r>
          </w:p>
        </w:tc>
        <w:tc>
          <w:tcPr>
            <w:tcW w:w="3071" w:type="dxa"/>
          </w:tcPr>
          <w:p w:rsidR="00F87C51" w:rsidRPr="00F87C51" w:rsidRDefault="00F87C51" w:rsidP="00F87C51">
            <w:pPr>
              <w:rPr>
                <w:szCs w:val="24"/>
                <w:lang w:val="en-US" w:eastAsia="en-US"/>
              </w:rPr>
            </w:pPr>
            <w:r w:rsidRPr="00F87C51">
              <w:rPr>
                <w:szCs w:val="24"/>
                <w:lang w:val="en-US" w:eastAsia="en-US"/>
              </w:rPr>
              <w:t>Avoiding conflicting positions</w:t>
            </w:r>
          </w:p>
        </w:tc>
        <w:tc>
          <w:tcPr>
            <w:tcW w:w="3071" w:type="dxa"/>
          </w:tcPr>
          <w:p w:rsidR="00F87C51" w:rsidRPr="00F87C51" w:rsidRDefault="00F87C51" w:rsidP="00F87C51">
            <w:pPr>
              <w:numPr>
                <w:ilvl w:val="0"/>
                <w:numId w:val="5"/>
              </w:numPr>
              <w:spacing w:before="200" w:after="200" w:line="276" w:lineRule="auto"/>
              <w:contextualSpacing/>
              <w:rPr>
                <w:szCs w:val="24"/>
                <w:lang w:val="en-US" w:eastAsia="en-US"/>
              </w:rPr>
            </w:pPr>
            <w:r w:rsidRPr="00F87C51">
              <w:rPr>
                <w:szCs w:val="24"/>
                <w:lang w:val="en-US" w:eastAsia="en-US"/>
              </w:rPr>
              <w:t>Procedures in place for early warning of diverging positions</w:t>
            </w:r>
          </w:p>
          <w:p w:rsidR="00F87C51" w:rsidRPr="00F87C51" w:rsidRDefault="00F87C51" w:rsidP="00F87C51">
            <w:pPr>
              <w:numPr>
                <w:ilvl w:val="0"/>
                <w:numId w:val="5"/>
              </w:numPr>
              <w:spacing w:before="200" w:after="200" w:line="276" w:lineRule="auto"/>
              <w:contextualSpacing/>
              <w:rPr>
                <w:szCs w:val="24"/>
                <w:lang w:val="en-US" w:eastAsia="en-US"/>
              </w:rPr>
            </w:pPr>
            <w:r w:rsidRPr="00F87C51">
              <w:rPr>
                <w:szCs w:val="24"/>
                <w:lang w:val="en-US" w:eastAsia="en-US"/>
              </w:rPr>
              <w:t>Capacity for negotiation</w:t>
            </w:r>
          </w:p>
        </w:tc>
      </w:tr>
      <w:tr w:rsidR="00F87C51" w:rsidRPr="00F87C51" w:rsidTr="0086107E">
        <w:tc>
          <w:tcPr>
            <w:tcW w:w="3070" w:type="dxa"/>
          </w:tcPr>
          <w:p w:rsidR="00F87C51" w:rsidRPr="00F87C51" w:rsidRDefault="00F87C51" w:rsidP="00F87C51">
            <w:pPr>
              <w:rPr>
                <w:szCs w:val="24"/>
                <w:lang w:val="nl-BE" w:eastAsia="en-US"/>
              </w:rPr>
            </w:pPr>
            <w:r w:rsidRPr="00F87C51">
              <w:rPr>
                <w:szCs w:val="24"/>
                <w:lang w:val="nl-BE" w:eastAsia="en-US"/>
              </w:rPr>
              <w:t>Consultation with countries/agencies</w:t>
            </w:r>
          </w:p>
        </w:tc>
        <w:tc>
          <w:tcPr>
            <w:tcW w:w="3071" w:type="dxa"/>
          </w:tcPr>
          <w:p w:rsidR="00F87C51" w:rsidRPr="00F87C51" w:rsidRDefault="00F87C51" w:rsidP="00F87C51">
            <w:pPr>
              <w:rPr>
                <w:szCs w:val="24"/>
                <w:lang w:val="en-US" w:eastAsia="en-US"/>
              </w:rPr>
            </w:pPr>
            <w:r w:rsidRPr="00F87C51">
              <w:rPr>
                <w:szCs w:val="24"/>
                <w:lang w:val="en-US" w:eastAsia="en-US"/>
              </w:rPr>
              <w:t>Consultation as part of policy formulation</w:t>
            </w:r>
          </w:p>
        </w:tc>
        <w:tc>
          <w:tcPr>
            <w:tcW w:w="3071" w:type="dxa"/>
          </w:tcPr>
          <w:p w:rsidR="00F87C51" w:rsidRPr="00F87C51" w:rsidRDefault="00F87C51" w:rsidP="00F87C51">
            <w:pPr>
              <w:numPr>
                <w:ilvl w:val="0"/>
                <w:numId w:val="7"/>
              </w:numPr>
              <w:spacing w:before="200" w:after="200" w:line="276" w:lineRule="auto"/>
              <w:contextualSpacing/>
              <w:rPr>
                <w:szCs w:val="24"/>
                <w:lang w:val="en-US" w:eastAsia="en-US"/>
              </w:rPr>
            </w:pPr>
            <w:r w:rsidRPr="00F87C51">
              <w:rPr>
                <w:szCs w:val="24"/>
                <w:lang w:val="en-US" w:eastAsia="en-US"/>
              </w:rPr>
              <w:t>Joint understanding of the need for consultation</w:t>
            </w:r>
          </w:p>
          <w:p w:rsidR="00F87C51" w:rsidRPr="00F87C51" w:rsidRDefault="00F87C51" w:rsidP="00F87C51">
            <w:pPr>
              <w:numPr>
                <w:ilvl w:val="0"/>
                <w:numId w:val="7"/>
              </w:numPr>
              <w:spacing w:before="200" w:after="200" w:line="276" w:lineRule="auto"/>
              <w:contextualSpacing/>
              <w:rPr>
                <w:szCs w:val="24"/>
                <w:lang w:val="en-US" w:eastAsia="en-US"/>
              </w:rPr>
            </w:pPr>
            <w:r w:rsidRPr="00F87C51">
              <w:rPr>
                <w:szCs w:val="24"/>
                <w:lang w:val="en-US" w:eastAsia="en-US"/>
              </w:rPr>
              <w:t>Effective procedures to ensure consultation</w:t>
            </w:r>
          </w:p>
        </w:tc>
      </w:tr>
      <w:tr w:rsidR="00F87C51" w:rsidRPr="00F87C51" w:rsidTr="0086107E">
        <w:tc>
          <w:tcPr>
            <w:tcW w:w="3070" w:type="dxa"/>
          </w:tcPr>
          <w:p w:rsidR="00F87C51" w:rsidRPr="00F87C51" w:rsidRDefault="00F87C51" w:rsidP="00F87C51">
            <w:pPr>
              <w:spacing w:before="200" w:after="200" w:line="276" w:lineRule="auto"/>
              <w:rPr>
                <w:szCs w:val="24"/>
                <w:lang w:val="en-US" w:eastAsia="en-US"/>
              </w:rPr>
            </w:pPr>
            <w:r w:rsidRPr="00F87C51">
              <w:rPr>
                <w:szCs w:val="24"/>
                <w:lang w:val="en-US" w:eastAsia="en-US"/>
              </w:rPr>
              <w:t>Communication to/with other countries/agencies</w:t>
            </w:r>
          </w:p>
        </w:tc>
        <w:tc>
          <w:tcPr>
            <w:tcW w:w="3071" w:type="dxa"/>
          </w:tcPr>
          <w:p w:rsidR="00F87C51" w:rsidRPr="00F87C51" w:rsidRDefault="00F87C51" w:rsidP="00F87C51">
            <w:pPr>
              <w:rPr>
                <w:szCs w:val="24"/>
                <w:lang w:val="en-US" w:eastAsia="en-US"/>
              </w:rPr>
            </w:pPr>
          </w:p>
        </w:tc>
        <w:tc>
          <w:tcPr>
            <w:tcW w:w="3071" w:type="dxa"/>
          </w:tcPr>
          <w:p w:rsidR="00F87C51" w:rsidRPr="00F87C51" w:rsidRDefault="00F87C51" w:rsidP="00F87C51">
            <w:pPr>
              <w:numPr>
                <w:ilvl w:val="0"/>
                <w:numId w:val="4"/>
              </w:numPr>
              <w:spacing w:before="200" w:after="200" w:line="276" w:lineRule="auto"/>
              <w:contextualSpacing/>
              <w:rPr>
                <w:szCs w:val="24"/>
                <w:lang w:val="en-US" w:eastAsia="en-US"/>
              </w:rPr>
            </w:pPr>
            <w:r w:rsidRPr="00F87C51">
              <w:rPr>
                <w:szCs w:val="24"/>
                <w:lang w:val="en-US" w:eastAsia="en-US"/>
              </w:rPr>
              <w:t>Effective communication channels</w:t>
            </w:r>
          </w:p>
        </w:tc>
      </w:tr>
      <w:tr w:rsidR="00F87C51" w:rsidRPr="00F87C51" w:rsidTr="0086107E">
        <w:tc>
          <w:tcPr>
            <w:tcW w:w="3070" w:type="dxa"/>
          </w:tcPr>
          <w:p w:rsidR="00F87C51" w:rsidRPr="00F87C51" w:rsidRDefault="00F87C51" w:rsidP="00F87C51">
            <w:pPr>
              <w:rPr>
                <w:szCs w:val="24"/>
                <w:lang w:val="nl-BE" w:eastAsia="en-US"/>
              </w:rPr>
            </w:pPr>
            <w:r w:rsidRPr="00F87C51">
              <w:rPr>
                <w:szCs w:val="24"/>
                <w:lang w:val="nl-BE" w:eastAsia="en-US"/>
              </w:rPr>
              <w:t>Independent decision-making</w:t>
            </w:r>
          </w:p>
        </w:tc>
        <w:tc>
          <w:tcPr>
            <w:tcW w:w="3071" w:type="dxa"/>
          </w:tcPr>
          <w:p w:rsidR="00F87C51" w:rsidRPr="00F87C51" w:rsidRDefault="00F87C51" w:rsidP="00F87C51">
            <w:pPr>
              <w:rPr>
                <w:szCs w:val="24"/>
                <w:lang w:val="en-US" w:eastAsia="en-US"/>
              </w:rPr>
            </w:pPr>
            <w:r w:rsidRPr="00F87C51">
              <w:rPr>
                <w:szCs w:val="24"/>
                <w:lang w:val="en-US" w:eastAsia="en-US"/>
              </w:rPr>
              <w:t>Coordination through competition</w:t>
            </w:r>
          </w:p>
        </w:tc>
        <w:tc>
          <w:tcPr>
            <w:tcW w:w="3071" w:type="dxa"/>
          </w:tcPr>
          <w:p w:rsidR="00F87C51" w:rsidRPr="00F87C51" w:rsidRDefault="00F87C51" w:rsidP="00F87C51">
            <w:pPr>
              <w:numPr>
                <w:ilvl w:val="0"/>
                <w:numId w:val="6"/>
              </w:numPr>
              <w:spacing w:before="200" w:after="200" w:line="276" w:lineRule="auto"/>
              <w:contextualSpacing/>
              <w:rPr>
                <w:szCs w:val="24"/>
                <w:lang w:val="en-US" w:eastAsia="en-US"/>
              </w:rPr>
            </w:pPr>
            <w:r w:rsidRPr="00F87C51">
              <w:rPr>
                <w:szCs w:val="24"/>
                <w:lang w:val="en-US" w:eastAsia="en-US"/>
              </w:rPr>
              <w:t>Full autonomy?</w:t>
            </w:r>
          </w:p>
          <w:p w:rsidR="00F87C51" w:rsidRPr="00F87C51" w:rsidRDefault="00F87C51" w:rsidP="00F87C51">
            <w:pPr>
              <w:numPr>
                <w:ilvl w:val="0"/>
                <w:numId w:val="6"/>
              </w:numPr>
              <w:spacing w:before="200" w:after="200" w:line="276" w:lineRule="auto"/>
              <w:contextualSpacing/>
              <w:rPr>
                <w:szCs w:val="24"/>
                <w:lang w:val="en-US" w:eastAsia="en-US"/>
              </w:rPr>
            </w:pPr>
            <w:r w:rsidRPr="00F87C51">
              <w:rPr>
                <w:szCs w:val="24"/>
                <w:lang w:val="en-US" w:eastAsia="en-US"/>
              </w:rPr>
              <w:t>Identifiable duplication/overlaps</w:t>
            </w:r>
          </w:p>
        </w:tc>
      </w:tr>
    </w:tbl>
    <w:p w:rsidR="00F87C51" w:rsidRPr="00F87C51" w:rsidRDefault="00F87C51" w:rsidP="00F87C51">
      <w:pPr>
        <w:spacing w:before="200" w:after="200" w:line="276" w:lineRule="auto"/>
        <w:jc w:val="both"/>
        <w:rPr>
          <w:szCs w:val="24"/>
          <w:lang w:val="en-US" w:eastAsia="en-US"/>
        </w:rPr>
      </w:pPr>
      <w:r w:rsidRPr="00F87C51">
        <w:rPr>
          <w:szCs w:val="24"/>
          <w:lang w:val="en-US" w:eastAsia="en-US"/>
        </w:rPr>
        <w:t xml:space="preserve">While evaluating JPI Oceans' capacity to achieve alignment, an assessment of the JPI's capability to identify and seek solutions for coordination on lowest possible meaningful level should be included. As coordination involves transaction costs, </w:t>
      </w:r>
      <w:proofErr w:type="gramStart"/>
      <w:r w:rsidRPr="00F87C51">
        <w:rPr>
          <w:szCs w:val="24"/>
          <w:lang w:val="en-US" w:eastAsia="en-US"/>
        </w:rPr>
        <w:t>these need</w:t>
      </w:r>
      <w:proofErr w:type="gramEnd"/>
      <w:r w:rsidRPr="00F87C51">
        <w:rPr>
          <w:szCs w:val="24"/>
          <w:lang w:val="en-US" w:eastAsia="en-US"/>
        </w:rPr>
        <w:t xml:space="preserve"> to be kept on a low level, and lower levels of coordination may be more cost-effective than higher levels. </w:t>
      </w:r>
    </w:p>
    <w:p w:rsidR="00F87C51" w:rsidRPr="00F87C51" w:rsidRDefault="00F87C51" w:rsidP="00F87C51">
      <w:pPr>
        <w:spacing w:before="200" w:after="200" w:line="276" w:lineRule="auto"/>
        <w:jc w:val="both"/>
        <w:rPr>
          <w:szCs w:val="24"/>
          <w:lang w:val="en-US" w:eastAsia="en-US"/>
        </w:rPr>
      </w:pPr>
      <w:r w:rsidRPr="00F87C51">
        <w:rPr>
          <w:szCs w:val="24"/>
          <w:lang w:val="en-US" w:eastAsia="en-US"/>
        </w:rPr>
        <w:t xml:space="preserve">While the former section was concerned with the alignment of the broader policy system to identify optimal capacities and levels or modalities of coordination, this section concerns the partnership on a more operative level. In this case it is recommended to lean on work </w:t>
      </w:r>
      <w:r w:rsidR="005F1C05">
        <w:rPr>
          <w:szCs w:val="24"/>
          <w:lang w:val="en-US" w:eastAsia="en-US"/>
        </w:rPr>
        <w:t xml:space="preserve">done in the context of the JPND. </w:t>
      </w:r>
      <w:bookmarkStart w:id="0" w:name="_GoBack"/>
      <w:bookmarkEnd w:id="0"/>
      <w:r w:rsidRPr="00F87C51">
        <w:rPr>
          <w:szCs w:val="24"/>
          <w:lang w:val="en-US" w:eastAsia="en-US"/>
        </w:rPr>
        <w:t xml:space="preserve">This section is addressing the two different but highly associated areas of partnership and governance separately. </w:t>
      </w:r>
    </w:p>
    <w:p w:rsidR="00F87C51" w:rsidRPr="00F87C51" w:rsidRDefault="00F87C51" w:rsidP="00F87C51">
      <w:pPr>
        <w:spacing w:before="200" w:after="200" w:line="276" w:lineRule="auto"/>
        <w:jc w:val="both"/>
        <w:rPr>
          <w:szCs w:val="24"/>
          <w:lang w:val="en-US" w:eastAsia="en-US"/>
        </w:rPr>
      </w:pPr>
      <w:r w:rsidRPr="00F87C51">
        <w:rPr>
          <w:szCs w:val="24"/>
          <w:lang w:val="en-US" w:eastAsia="en-US"/>
        </w:rPr>
        <w:t>Based on the workshop on evaluation guidelines and other related work such as with JNPD, the following recommendations are suggested for evaluating and monitoring the JPI Oceans' partnership:</w:t>
      </w:r>
    </w:p>
    <w:p w:rsidR="00F87C51" w:rsidRPr="00F87C51" w:rsidRDefault="00F87C51" w:rsidP="00F87C51">
      <w:pPr>
        <w:spacing w:before="200" w:after="200" w:line="276" w:lineRule="auto"/>
        <w:jc w:val="both"/>
        <w:rPr>
          <w:b/>
          <w:szCs w:val="24"/>
          <w:lang w:val="en-US" w:eastAsia="en-US"/>
        </w:rPr>
      </w:pPr>
      <w:r w:rsidRPr="00F87C51">
        <w:rPr>
          <w:b/>
          <w:szCs w:val="24"/>
          <w:lang w:val="en-US" w:eastAsia="en-US"/>
        </w:rPr>
        <w:t>Evaluating partnerships: recommended issues and indicators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3544"/>
        <w:gridCol w:w="3150"/>
      </w:tblGrid>
      <w:tr w:rsidR="00F87C51" w:rsidRPr="00F87C51" w:rsidTr="0086107E">
        <w:tc>
          <w:tcPr>
            <w:tcW w:w="2518" w:type="dxa"/>
          </w:tcPr>
          <w:p w:rsidR="00F87C51" w:rsidRPr="00F87C51" w:rsidRDefault="00F87C51" w:rsidP="00F87C51">
            <w:pPr>
              <w:jc w:val="both"/>
              <w:rPr>
                <w:szCs w:val="24"/>
                <w:lang w:val="en-US" w:eastAsia="en-US"/>
              </w:rPr>
            </w:pPr>
            <w:r w:rsidRPr="00F87C51">
              <w:rPr>
                <w:szCs w:val="24"/>
                <w:lang w:val="en-US" w:eastAsia="en-US"/>
              </w:rPr>
              <w:t>Issue</w:t>
            </w:r>
          </w:p>
        </w:tc>
        <w:tc>
          <w:tcPr>
            <w:tcW w:w="3544" w:type="dxa"/>
          </w:tcPr>
          <w:p w:rsidR="00F87C51" w:rsidRPr="00F87C51" w:rsidRDefault="00F87C51" w:rsidP="00F87C51">
            <w:pPr>
              <w:jc w:val="both"/>
              <w:rPr>
                <w:szCs w:val="24"/>
                <w:lang w:val="en-US" w:eastAsia="en-US"/>
              </w:rPr>
            </w:pPr>
            <w:r w:rsidRPr="00F87C51">
              <w:rPr>
                <w:szCs w:val="24"/>
                <w:lang w:val="en-US" w:eastAsia="en-US"/>
              </w:rPr>
              <w:t>Key question</w:t>
            </w:r>
          </w:p>
        </w:tc>
        <w:tc>
          <w:tcPr>
            <w:tcW w:w="3150" w:type="dxa"/>
          </w:tcPr>
          <w:p w:rsidR="00F87C51" w:rsidRPr="00F87C51" w:rsidRDefault="00F87C51" w:rsidP="00F87C51">
            <w:pPr>
              <w:jc w:val="both"/>
              <w:rPr>
                <w:szCs w:val="24"/>
                <w:lang w:val="en-US" w:eastAsia="en-US"/>
              </w:rPr>
            </w:pPr>
            <w:r w:rsidRPr="00F87C51">
              <w:rPr>
                <w:szCs w:val="24"/>
                <w:lang w:val="en-US" w:eastAsia="en-US"/>
              </w:rPr>
              <w:t>Indicator example</w:t>
            </w:r>
          </w:p>
        </w:tc>
      </w:tr>
      <w:tr w:rsidR="00F87C51" w:rsidRPr="00F87C51" w:rsidTr="0086107E">
        <w:tc>
          <w:tcPr>
            <w:tcW w:w="2518" w:type="dxa"/>
          </w:tcPr>
          <w:p w:rsidR="00F87C51" w:rsidRPr="00F87C51" w:rsidRDefault="00F87C51" w:rsidP="00F87C51">
            <w:pPr>
              <w:rPr>
                <w:szCs w:val="24"/>
                <w:lang w:val="en-US" w:eastAsia="en-US"/>
              </w:rPr>
            </w:pPr>
            <w:r w:rsidRPr="00F87C51">
              <w:rPr>
                <w:szCs w:val="24"/>
                <w:lang w:val="en-US" w:eastAsia="en-US"/>
              </w:rPr>
              <w:t>Participation rate in JPI Oceans</w:t>
            </w:r>
          </w:p>
        </w:tc>
        <w:tc>
          <w:tcPr>
            <w:tcW w:w="3544" w:type="dxa"/>
          </w:tcPr>
          <w:p w:rsidR="00F87C51" w:rsidRPr="00F87C51" w:rsidRDefault="00F87C51" w:rsidP="00F87C51">
            <w:pPr>
              <w:rPr>
                <w:szCs w:val="24"/>
                <w:lang w:val="en-US" w:eastAsia="en-US"/>
              </w:rPr>
            </w:pPr>
            <w:r w:rsidRPr="00F87C51">
              <w:rPr>
                <w:szCs w:val="24"/>
                <w:lang w:val="en-US" w:eastAsia="en-US"/>
              </w:rPr>
              <w:t>Is the participation representative?</w:t>
            </w:r>
          </w:p>
        </w:tc>
        <w:tc>
          <w:tcPr>
            <w:tcW w:w="3150" w:type="dxa"/>
          </w:tcPr>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Share of EU/AC MS</w:t>
            </w:r>
          </w:p>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Participation rate in dedicated actions</w:t>
            </w:r>
          </w:p>
        </w:tc>
      </w:tr>
      <w:tr w:rsidR="00F87C51" w:rsidRPr="00F87C51" w:rsidTr="0086107E">
        <w:tc>
          <w:tcPr>
            <w:tcW w:w="2518" w:type="dxa"/>
          </w:tcPr>
          <w:p w:rsidR="00F87C51" w:rsidRPr="00F87C51" w:rsidRDefault="00F87C51" w:rsidP="00F87C51">
            <w:pPr>
              <w:rPr>
                <w:szCs w:val="24"/>
                <w:lang w:val="en-US" w:eastAsia="en-US"/>
              </w:rPr>
            </w:pPr>
            <w:r w:rsidRPr="00F87C51">
              <w:rPr>
                <w:szCs w:val="24"/>
                <w:lang w:val="en-US" w:eastAsia="en-US"/>
              </w:rPr>
              <w:lastRenderedPageBreak/>
              <w:t>Mix of partnering organizations</w:t>
            </w:r>
          </w:p>
        </w:tc>
        <w:tc>
          <w:tcPr>
            <w:tcW w:w="3544" w:type="dxa"/>
          </w:tcPr>
          <w:p w:rsidR="00F87C51" w:rsidRPr="00F87C51" w:rsidRDefault="00F87C51" w:rsidP="00F87C51">
            <w:pPr>
              <w:rPr>
                <w:szCs w:val="24"/>
                <w:lang w:val="en-US" w:eastAsia="en-US"/>
              </w:rPr>
            </w:pPr>
            <w:r w:rsidRPr="00F87C51">
              <w:rPr>
                <w:szCs w:val="24"/>
                <w:lang w:val="en-US" w:eastAsia="en-US"/>
              </w:rPr>
              <w:t>What do they bring to the partnership?</w:t>
            </w:r>
          </w:p>
        </w:tc>
        <w:tc>
          <w:tcPr>
            <w:tcW w:w="3150" w:type="dxa"/>
          </w:tcPr>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Experience in marine/maritime areas</w:t>
            </w:r>
          </w:p>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Credibility</w:t>
            </w:r>
          </w:p>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 xml:space="preserve">Commitment </w:t>
            </w:r>
          </w:p>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Strategies/agendas</w:t>
            </w:r>
          </w:p>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Attitudes towards JPIs goals</w:t>
            </w:r>
          </w:p>
        </w:tc>
      </w:tr>
      <w:tr w:rsidR="00F87C51" w:rsidRPr="00F87C51" w:rsidTr="0086107E">
        <w:tc>
          <w:tcPr>
            <w:tcW w:w="2518" w:type="dxa"/>
          </w:tcPr>
          <w:p w:rsidR="00F87C51" w:rsidRPr="00F87C51" w:rsidRDefault="00F87C51" w:rsidP="00F87C51">
            <w:pPr>
              <w:rPr>
                <w:szCs w:val="24"/>
                <w:lang w:val="en-US" w:eastAsia="en-US"/>
              </w:rPr>
            </w:pPr>
            <w:r w:rsidRPr="00F87C51">
              <w:rPr>
                <w:szCs w:val="24"/>
                <w:lang w:val="en-US" w:eastAsia="en-US"/>
              </w:rPr>
              <w:t>Attribution of results</w:t>
            </w:r>
          </w:p>
        </w:tc>
        <w:tc>
          <w:tcPr>
            <w:tcW w:w="3544" w:type="dxa"/>
          </w:tcPr>
          <w:p w:rsidR="00F87C51" w:rsidRPr="00F87C51" w:rsidRDefault="00F87C51" w:rsidP="00F87C51">
            <w:pPr>
              <w:rPr>
                <w:szCs w:val="24"/>
                <w:lang w:val="en-US" w:eastAsia="en-US"/>
              </w:rPr>
            </w:pPr>
            <w:r w:rsidRPr="00F87C51">
              <w:rPr>
                <w:szCs w:val="24"/>
                <w:lang w:val="en-US" w:eastAsia="en-US"/>
              </w:rPr>
              <w:t>Are observed changes attributable to JPI?</w:t>
            </w:r>
          </w:p>
        </w:tc>
        <w:tc>
          <w:tcPr>
            <w:tcW w:w="3150" w:type="dxa"/>
          </w:tcPr>
          <w:p w:rsidR="00F87C51" w:rsidRPr="00F87C51" w:rsidRDefault="00F87C51" w:rsidP="00F87C51">
            <w:pPr>
              <w:numPr>
                <w:ilvl w:val="0"/>
                <w:numId w:val="9"/>
              </w:numPr>
              <w:spacing w:before="200" w:after="200" w:line="276" w:lineRule="auto"/>
              <w:contextualSpacing/>
              <w:rPr>
                <w:szCs w:val="24"/>
                <w:lang w:val="en-US" w:eastAsia="en-US"/>
              </w:rPr>
            </w:pPr>
            <w:r w:rsidRPr="00F87C51">
              <w:rPr>
                <w:szCs w:val="24"/>
                <w:lang w:val="en-US" w:eastAsia="en-US"/>
              </w:rPr>
              <w:t>One or more partners or others claim ownership</w:t>
            </w:r>
          </w:p>
        </w:tc>
      </w:tr>
      <w:tr w:rsidR="00F87C51" w:rsidRPr="00F87C51" w:rsidTr="0086107E">
        <w:tc>
          <w:tcPr>
            <w:tcW w:w="2518" w:type="dxa"/>
          </w:tcPr>
          <w:p w:rsidR="00F87C51" w:rsidRPr="00F87C51" w:rsidRDefault="00F87C51" w:rsidP="00F87C51">
            <w:pPr>
              <w:rPr>
                <w:szCs w:val="24"/>
                <w:lang w:val="en-US" w:eastAsia="en-US"/>
              </w:rPr>
            </w:pPr>
            <w:r w:rsidRPr="00F87C51">
              <w:rPr>
                <w:szCs w:val="24"/>
                <w:lang w:val="en-US" w:eastAsia="en-US"/>
              </w:rPr>
              <w:t>Social capital</w:t>
            </w:r>
          </w:p>
        </w:tc>
        <w:tc>
          <w:tcPr>
            <w:tcW w:w="3544" w:type="dxa"/>
          </w:tcPr>
          <w:p w:rsidR="00F87C51" w:rsidRPr="00F87C51" w:rsidRDefault="00F87C51" w:rsidP="00F87C51">
            <w:pPr>
              <w:rPr>
                <w:szCs w:val="24"/>
                <w:lang w:val="en-US" w:eastAsia="en-US"/>
              </w:rPr>
            </w:pPr>
            <w:r w:rsidRPr="00F87C51">
              <w:rPr>
                <w:szCs w:val="24"/>
                <w:lang w:val="en-US" w:eastAsia="en-US"/>
              </w:rPr>
              <w:t>Is the JPI endowed with sufficient human and social resources?</w:t>
            </w:r>
          </w:p>
        </w:tc>
        <w:tc>
          <w:tcPr>
            <w:tcW w:w="3150" w:type="dxa"/>
          </w:tcPr>
          <w:p w:rsidR="00F87C51" w:rsidRPr="00F87C51" w:rsidRDefault="00F87C51" w:rsidP="00F87C51">
            <w:pPr>
              <w:numPr>
                <w:ilvl w:val="0"/>
                <w:numId w:val="8"/>
              </w:numPr>
              <w:spacing w:before="200" w:after="200" w:line="276" w:lineRule="auto"/>
              <w:contextualSpacing/>
              <w:rPr>
                <w:szCs w:val="24"/>
                <w:lang w:val="en-US" w:eastAsia="en-US"/>
              </w:rPr>
            </w:pPr>
            <w:r w:rsidRPr="00F87C51">
              <w:rPr>
                <w:szCs w:val="24"/>
                <w:lang w:val="en-US" w:eastAsia="en-US"/>
              </w:rPr>
              <w:t>Effective communication between partners</w:t>
            </w:r>
          </w:p>
          <w:p w:rsidR="00F87C51" w:rsidRPr="00F87C51" w:rsidRDefault="00F87C51" w:rsidP="00F87C51">
            <w:pPr>
              <w:numPr>
                <w:ilvl w:val="0"/>
                <w:numId w:val="8"/>
              </w:numPr>
              <w:spacing w:before="200" w:after="200" w:line="276" w:lineRule="auto"/>
              <w:contextualSpacing/>
              <w:rPr>
                <w:szCs w:val="24"/>
                <w:lang w:val="en-US" w:eastAsia="en-US"/>
              </w:rPr>
            </w:pPr>
            <w:r w:rsidRPr="00F87C51">
              <w:rPr>
                <w:szCs w:val="24"/>
                <w:lang w:val="en-US" w:eastAsia="en-US"/>
              </w:rPr>
              <w:t>Commitment to procedures and agendas</w:t>
            </w:r>
          </w:p>
          <w:p w:rsidR="00F87C51" w:rsidRPr="00F87C51" w:rsidRDefault="00F87C51" w:rsidP="00F87C51">
            <w:pPr>
              <w:numPr>
                <w:ilvl w:val="0"/>
                <w:numId w:val="8"/>
              </w:numPr>
              <w:spacing w:before="200" w:after="200" w:line="276" w:lineRule="auto"/>
              <w:contextualSpacing/>
              <w:rPr>
                <w:szCs w:val="24"/>
                <w:lang w:val="en-US" w:eastAsia="en-US"/>
              </w:rPr>
            </w:pPr>
            <w:r w:rsidRPr="00F87C51">
              <w:rPr>
                <w:szCs w:val="24"/>
                <w:lang w:val="en-US" w:eastAsia="en-US"/>
              </w:rPr>
              <w:t>A widespread sense of mutual trust</w:t>
            </w:r>
          </w:p>
        </w:tc>
      </w:tr>
      <w:tr w:rsidR="00F87C51" w:rsidRPr="00F87C51" w:rsidTr="0086107E">
        <w:tc>
          <w:tcPr>
            <w:tcW w:w="2518" w:type="dxa"/>
          </w:tcPr>
          <w:p w:rsidR="00F87C51" w:rsidRPr="00F87C51" w:rsidRDefault="00F87C51" w:rsidP="00F87C51">
            <w:pPr>
              <w:rPr>
                <w:szCs w:val="24"/>
                <w:lang w:val="en-US" w:eastAsia="en-US"/>
              </w:rPr>
            </w:pPr>
            <w:r w:rsidRPr="00F87C51">
              <w:rPr>
                <w:szCs w:val="24"/>
                <w:lang w:val="en-US" w:eastAsia="en-US"/>
              </w:rPr>
              <w:t>Available resources</w:t>
            </w:r>
          </w:p>
        </w:tc>
        <w:tc>
          <w:tcPr>
            <w:tcW w:w="3544" w:type="dxa"/>
          </w:tcPr>
          <w:p w:rsidR="00F87C51" w:rsidRPr="00F87C51" w:rsidRDefault="00F87C51" w:rsidP="00F87C51">
            <w:pPr>
              <w:rPr>
                <w:szCs w:val="24"/>
                <w:lang w:val="en-US" w:eastAsia="en-US"/>
              </w:rPr>
            </w:pPr>
            <w:r w:rsidRPr="00F87C51">
              <w:rPr>
                <w:szCs w:val="24"/>
                <w:lang w:val="en-US" w:eastAsia="en-US"/>
              </w:rPr>
              <w:t>Are the partners equipped with available resources?</w:t>
            </w:r>
          </w:p>
        </w:tc>
        <w:tc>
          <w:tcPr>
            <w:tcW w:w="3150" w:type="dxa"/>
          </w:tcPr>
          <w:p w:rsidR="00F87C51" w:rsidRPr="00F87C51" w:rsidRDefault="00F87C51" w:rsidP="00F87C51">
            <w:pPr>
              <w:numPr>
                <w:ilvl w:val="0"/>
                <w:numId w:val="10"/>
              </w:numPr>
              <w:spacing w:before="200" w:after="200" w:line="276" w:lineRule="auto"/>
              <w:contextualSpacing/>
              <w:rPr>
                <w:szCs w:val="24"/>
                <w:lang w:val="en-US" w:eastAsia="en-US"/>
              </w:rPr>
            </w:pPr>
            <w:r w:rsidRPr="00F87C51">
              <w:rPr>
                <w:szCs w:val="24"/>
                <w:lang w:val="en-US" w:eastAsia="en-US"/>
              </w:rPr>
              <w:t>Available funding for the partnership</w:t>
            </w:r>
          </w:p>
          <w:p w:rsidR="00F87C51" w:rsidRPr="00F87C51" w:rsidRDefault="00F87C51" w:rsidP="00F87C51">
            <w:pPr>
              <w:numPr>
                <w:ilvl w:val="0"/>
                <w:numId w:val="10"/>
              </w:numPr>
              <w:spacing w:before="200" w:after="200" w:line="276" w:lineRule="auto"/>
              <w:contextualSpacing/>
              <w:rPr>
                <w:szCs w:val="24"/>
                <w:lang w:val="en-US" w:eastAsia="en-US"/>
              </w:rPr>
            </w:pPr>
            <w:r w:rsidRPr="00F87C51">
              <w:rPr>
                <w:szCs w:val="24"/>
                <w:lang w:val="en-US" w:eastAsia="en-US"/>
              </w:rPr>
              <w:t>Pooling capacities</w:t>
            </w:r>
          </w:p>
          <w:p w:rsidR="00F87C51" w:rsidRPr="00F87C51" w:rsidRDefault="00F87C51" w:rsidP="00F87C51">
            <w:pPr>
              <w:numPr>
                <w:ilvl w:val="0"/>
                <w:numId w:val="10"/>
              </w:numPr>
              <w:spacing w:before="200" w:after="200" w:line="276" w:lineRule="auto"/>
              <w:contextualSpacing/>
              <w:rPr>
                <w:szCs w:val="24"/>
                <w:lang w:val="en-US" w:eastAsia="en-US"/>
              </w:rPr>
            </w:pPr>
            <w:r w:rsidRPr="00F87C51">
              <w:rPr>
                <w:szCs w:val="24"/>
                <w:lang w:val="en-US" w:eastAsia="en-US"/>
              </w:rPr>
              <w:t>Capacities for co-funding</w:t>
            </w:r>
          </w:p>
        </w:tc>
      </w:tr>
    </w:tbl>
    <w:p w:rsidR="00F87C51" w:rsidRPr="00F87C51" w:rsidRDefault="00F87C51" w:rsidP="00F87C51">
      <w:pPr>
        <w:spacing w:before="200" w:after="200" w:line="276" w:lineRule="auto"/>
        <w:jc w:val="both"/>
        <w:rPr>
          <w:szCs w:val="24"/>
          <w:lang w:val="en-US" w:eastAsia="en-US"/>
        </w:rPr>
      </w:pPr>
      <w:r w:rsidRPr="00F87C51">
        <w:rPr>
          <w:szCs w:val="24"/>
          <w:lang w:val="en-US" w:eastAsia="en-US"/>
        </w:rPr>
        <w:t>Evaluating the JPI Oceans as governance is more demanding and relates to three key issues:</w:t>
      </w:r>
    </w:p>
    <w:p w:rsidR="00F87C51" w:rsidRPr="00F87C51" w:rsidRDefault="00F87C51" w:rsidP="00F87C51">
      <w:pPr>
        <w:numPr>
          <w:ilvl w:val="0"/>
          <w:numId w:val="11"/>
        </w:numPr>
        <w:spacing w:before="200" w:after="200" w:line="276" w:lineRule="auto"/>
        <w:contextualSpacing/>
        <w:jc w:val="both"/>
        <w:rPr>
          <w:szCs w:val="24"/>
          <w:lang w:val="en-US" w:eastAsia="en-US"/>
        </w:rPr>
      </w:pPr>
      <w:r w:rsidRPr="00F87C51">
        <w:rPr>
          <w:szCs w:val="24"/>
          <w:lang w:val="en-US" w:eastAsia="en-US"/>
        </w:rPr>
        <w:t>Representative efficiency: The JPI Oceans' governance structure includes representative bodies like the Management Board and Strategic Advisory Board. Representative efficiency addresses the degree to which partners are effectively represented and so ensures legitimacy of their decisions.</w:t>
      </w:r>
    </w:p>
    <w:p w:rsidR="00F87C51" w:rsidRPr="00F87C51" w:rsidRDefault="00F87C51" w:rsidP="00F87C51">
      <w:pPr>
        <w:numPr>
          <w:ilvl w:val="0"/>
          <w:numId w:val="11"/>
        </w:numPr>
        <w:spacing w:before="200" w:after="200" w:line="276" w:lineRule="auto"/>
        <w:contextualSpacing/>
        <w:jc w:val="both"/>
        <w:rPr>
          <w:szCs w:val="24"/>
          <w:lang w:val="en-US" w:eastAsia="en-US"/>
        </w:rPr>
      </w:pPr>
      <w:r w:rsidRPr="00F87C51">
        <w:rPr>
          <w:szCs w:val="24"/>
          <w:lang w:val="en-US" w:eastAsia="en-US"/>
        </w:rPr>
        <w:t xml:space="preserve">Administrative efficiency: This concerns the efficiency of management structures and processes of the JPI Oceans' secretariat. </w:t>
      </w:r>
    </w:p>
    <w:p w:rsidR="00F87C51" w:rsidRPr="00F87C51" w:rsidRDefault="00F87C51" w:rsidP="00F87C51">
      <w:pPr>
        <w:numPr>
          <w:ilvl w:val="0"/>
          <w:numId w:val="11"/>
        </w:numPr>
        <w:spacing w:before="200" w:after="200" w:line="276" w:lineRule="auto"/>
        <w:contextualSpacing/>
        <w:jc w:val="both"/>
        <w:rPr>
          <w:szCs w:val="24"/>
          <w:lang w:val="en-US" w:eastAsia="en-US"/>
        </w:rPr>
      </w:pPr>
      <w:r w:rsidRPr="00F87C51">
        <w:rPr>
          <w:szCs w:val="24"/>
          <w:lang w:val="en-US" w:eastAsia="en-US"/>
        </w:rPr>
        <w:t>Relational efficiency: This addresses the management of interfaces with other ERA-related objectives, bodies and programs, and includes the overall benefits of coordination and how to measure them.</w:t>
      </w:r>
    </w:p>
    <w:p w:rsidR="00F87C51" w:rsidRPr="006F6890" w:rsidRDefault="00F87C51">
      <w:pPr>
        <w:rPr>
          <w:szCs w:val="24"/>
          <w:lang w:val="en-US"/>
        </w:rPr>
      </w:pPr>
    </w:p>
    <w:p w:rsidR="00F87C51" w:rsidRPr="00F87C51" w:rsidRDefault="00F87C51" w:rsidP="00F87C51">
      <w:pPr>
        <w:spacing w:before="200" w:after="200" w:line="276" w:lineRule="auto"/>
        <w:jc w:val="both"/>
        <w:rPr>
          <w:b/>
          <w:szCs w:val="24"/>
          <w:lang w:val="en-US" w:eastAsia="en-US"/>
        </w:rPr>
      </w:pPr>
      <w:r w:rsidRPr="00F87C51">
        <w:rPr>
          <w:b/>
          <w:szCs w:val="24"/>
          <w:lang w:val="en-US" w:eastAsia="en-US"/>
        </w:rPr>
        <w:t>Evaluating governance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2850"/>
        <w:gridCol w:w="3292"/>
      </w:tblGrid>
      <w:tr w:rsidR="00F87C51" w:rsidRPr="00F87C51" w:rsidTr="0086107E">
        <w:tc>
          <w:tcPr>
            <w:tcW w:w="3070" w:type="dxa"/>
          </w:tcPr>
          <w:p w:rsidR="00F87C51" w:rsidRPr="00F87C51" w:rsidRDefault="00F87C51" w:rsidP="00F87C51">
            <w:pPr>
              <w:jc w:val="both"/>
              <w:rPr>
                <w:szCs w:val="24"/>
                <w:lang w:val="en-US" w:eastAsia="en-US"/>
              </w:rPr>
            </w:pPr>
            <w:r w:rsidRPr="00F87C51">
              <w:rPr>
                <w:szCs w:val="24"/>
                <w:lang w:val="en-US" w:eastAsia="en-US"/>
              </w:rPr>
              <w:t>Issue</w:t>
            </w:r>
          </w:p>
        </w:tc>
        <w:tc>
          <w:tcPr>
            <w:tcW w:w="2850" w:type="dxa"/>
          </w:tcPr>
          <w:p w:rsidR="00F87C51" w:rsidRPr="00F87C51" w:rsidRDefault="00F87C51" w:rsidP="00F87C51">
            <w:pPr>
              <w:jc w:val="both"/>
              <w:rPr>
                <w:szCs w:val="24"/>
                <w:lang w:val="en-US" w:eastAsia="en-US"/>
              </w:rPr>
            </w:pPr>
            <w:r w:rsidRPr="00F87C51">
              <w:rPr>
                <w:szCs w:val="24"/>
                <w:lang w:val="en-US" w:eastAsia="en-US"/>
              </w:rPr>
              <w:t>Key question</w:t>
            </w:r>
          </w:p>
        </w:tc>
        <w:tc>
          <w:tcPr>
            <w:tcW w:w="3292" w:type="dxa"/>
          </w:tcPr>
          <w:p w:rsidR="00F87C51" w:rsidRPr="00F87C51" w:rsidRDefault="00F87C51" w:rsidP="00F87C51">
            <w:pPr>
              <w:jc w:val="both"/>
              <w:rPr>
                <w:szCs w:val="24"/>
                <w:lang w:val="en-US" w:eastAsia="en-US"/>
              </w:rPr>
            </w:pPr>
            <w:r w:rsidRPr="00F87C51">
              <w:rPr>
                <w:szCs w:val="24"/>
                <w:lang w:val="en-US" w:eastAsia="en-US"/>
              </w:rPr>
              <w:t>Indicator example</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Representative efficiency</w:t>
            </w:r>
          </w:p>
        </w:tc>
        <w:tc>
          <w:tcPr>
            <w:tcW w:w="2850" w:type="dxa"/>
          </w:tcPr>
          <w:p w:rsidR="00F87C51" w:rsidRPr="00F87C51" w:rsidRDefault="00F87C51" w:rsidP="00F87C51">
            <w:pPr>
              <w:rPr>
                <w:szCs w:val="24"/>
                <w:lang w:val="en-US" w:eastAsia="en-US"/>
              </w:rPr>
            </w:pPr>
            <w:r w:rsidRPr="00F87C51">
              <w:rPr>
                <w:szCs w:val="24"/>
                <w:lang w:val="en-US" w:eastAsia="en-US"/>
              </w:rPr>
              <w:t>Is representation legitimate?</w:t>
            </w:r>
          </w:p>
        </w:tc>
        <w:tc>
          <w:tcPr>
            <w:tcW w:w="3292" w:type="dxa"/>
          </w:tcPr>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High level representatives in Management Board (ministries and funding agencies)</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Existence of clear mandate</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 xml:space="preserve">Stakeholder legitimacy, representativeness  and involvement of Strategic </w:t>
            </w:r>
            <w:proofErr w:type="spellStart"/>
            <w:r w:rsidRPr="00F87C51">
              <w:rPr>
                <w:szCs w:val="24"/>
                <w:lang w:val="en-US" w:eastAsia="en-US"/>
              </w:rPr>
              <w:t>Adv</w:t>
            </w:r>
            <w:proofErr w:type="spellEnd"/>
            <w:r w:rsidRPr="00F87C51">
              <w:rPr>
                <w:szCs w:val="24"/>
                <w:lang w:val="en-US" w:eastAsia="en-US"/>
              </w:rPr>
              <w:t xml:space="preserve"> Board</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lastRenderedPageBreak/>
              <w:t>Integrated advice across sectors/stakeholder groups</w:t>
            </w:r>
          </w:p>
        </w:tc>
      </w:tr>
      <w:tr w:rsidR="00F87C51" w:rsidRPr="00F87C51" w:rsidTr="0086107E">
        <w:tc>
          <w:tcPr>
            <w:tcW w:w="3070" w:type="dxa"/>
          </w:tcPr>
          <w:p w:rsidR="00F87C51" w:rsidRPr="00F87C51" w:rsidRDefault="00F87C51" w:rsidP="00F87C51">
            <w:pPr>
              <w:rPr>
                <w:szCs w:val="24"/>
                <w:lang w:val="en-US" w:eastAsia="en-US"/>
              </w:rPr>
            </w:pPr>
          </w:p>
        </w:tc>
        <w:tc>
          <w:tcPr>
            <w:tcW w:w="2850" w:type="dxa"/>
          </w:tcPr>
          <w:p w:rsidR="00F87C51" w:rsidRPr="00F87C51" w:rsidRDefault="00F87C51" w:rsidP="00F87C51">
            <w:pPr>
              <w:rPr>
                <w:szCs w:val="24"/>
                <w:lang w:val="en-US" w:eastAsia="en-US"/>
              </w:rPr>
            </w:pPr>
            <w:r w:rsidRPr="00F87C51">
              <w:rPr>
                <w:szCs w:val="24"/>
                <w:lang w:val="en-US" w:eastAsia="en-US"/>
              </w:rPr>
              <w:t>Is representation effective?</w:t>
            </w:r>
          </w:p>
        </w:tc>
        <w:tc>
          <w:tcPr>
            <w:tcW w:w="3292" w:type="dxa"/>
          </w:tcPr>
          <w:p w:rsidR="00F87C51" w:rsidRPr="00F87C51" w:rsidRDefault="00F87C51" w:rsidP="00F87C51">
            <w:pPr>
              <w:numPr>
                <w:ilvl w:val="0"/>
                <w:numId w:val="13"/>
              </w:numPr>
              <w:spacing w:before="200" w:after="200" w:line="276" w:lineRule="auto"/>
              <w:contextualSpacing/>
              <w:rPr>
                <w:szCs w:val="24"/>
                <w:lang w:val="en-US" w:eastAsia="en-US"/>
              </w:rPr>
            </w:pPr>
            <w:r w:rsidRPr="00F87C51">
              <w:rPr>
                <w:szCs w:val="24"/>
                <w:lang w:val="en-US" w:eastAsia="en-US"/>
              </w:rPr>
              <w:t>Effective chairing of Board meetings</w:t>
            </w:r>
          </w:p>
          <w:p w:rsidR="00F87C51" w:rsidRPr="00F87C51" w:rsidRDefault="00F87C51" w:rsidP="00F87C51">
            <w:pPr>
              <w:numPr>
                <w:ilvl w:val="0"/>
                <w:numId w:val="13"/>
              </w:numPr>
              <w:spacing w:before="200" w:after="200" w:line="276" w:lineRule="auto"/>
              <w:contextualSpacing/>
              <w:rPr>
                <w:szCs w:val="24"/>
                <w:lang w:val="en-US" w:eastAsia="en-US"/>
              </w:rPr>
            </w:pPr>
            <w:r w:rsidRPr="00F87C51">
              <w:rPr>
                <w:szCs w:val="24"/>
                <w:lang w:val="en-US" w:eastAsia="en-US"/>
              </w:rPr>
              <w:t>Competent representatives in Exec Committee</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Effective variable geometry in actions</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Development of a consistent and coherent strategic research and innovation agenda (SRIA) &amp; Implementation plan</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Proven capacity for implementation of agreed actions</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Administrative efficiency</w:t>
            </w:r>
          </w:p>
        </w:tc>
        <w:tc>
          <w:tcPr>
            <w:tcW w:w="2850" w:type="dxa"/>
          </w:tcPr>
          <w:p w:rsidR="00F87C51" w:rsidRPr="00F87C51" w:rsidRDefault="00F87C51" w:rsidP="00F87C51">
            <w:pPr>
              <w:rPr>
                <w:szCs w:val="24"/>
                <w:lang w:val="en-US" w:eastAsia="en-US"/>
              </w:rPr>
            </w:pPr>
            <w:r w:rsidRPr="00F87C51">
              <w:rPr>
                <w:szCs w:val="24"/>
                <w:lang w:val="en-US" w:eastAsia="en-US"/>
              </w:rPr>
              <w:t>Is the management of JPI Ocean's secretariat effective?</w:t>
            </w:r>
          </w:p>
        </w:tc>
        <w:tc>
          <w:tcPr>
            <w:tcW w:w="3292" w:type="dxa"/>
          </w:tcPr>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Well-functioning organizational structure and procedures</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Well-functioning preparation of board and committee meetings</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Capacity for learning and adaptation</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Capacity for negotiating diverse interests and agendas</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Effective/efficient implementation of MB decisions</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Establishment of sound governance structures in actions that require these</w:t>
            </w:r>
          </w:p>
          <w:p w:rsidR="00F87C51" w:rsidRPr="00F87C51" w:rsidRDefault="00F87C51" w:rsidP="00F87C51">
            <w:pPr>
              <w:numPr>
                <w:ilvl w:val="0"/>
                <w:numId w:val="12"/>
              </w:numPr>
              <w:spacing w:before="200" w:after="200" w:line="276" w:lineRule="auto"/>
              <w:contextualSpacing/>
              <w:rPr>
                <w:szCs w:val="24"/>
                <w:lang w:val="en-US" w:eastAsia="en-US"/>
              </w:rPr>
            </w:pPr>
            <w:r w:rsidRPr="00F87C51">
              <w:rPr>
                <w:szCs w:val="24"/>
                <w:lang w:val="en-US" w:eastAsia="en-US"/>
              </w:rPr>
              <w:t>Capability to induce appropriate analyses of gaps and bottlenecks to ensure planning and decision making</w:t>
            </w:r>
          </w:p>
        </w:tc>
      </w:tr>
      <w:tr w:rsidR="00F87C51" w:rsidRPr="00F87C51" w:rsidTr="0086107E">
        <w:tc>
          <w:tcPr>
            <w:tcW w:w="3070" w:type="dxa"/>
          </w:tcPr>
          <w:p w:rsidR="00F87C51" w:rsidRPr="00F87C51" w:rsidRDefault="00F87C51" w:rsidP="00F87C51">
            <w:pPr>
              <w:rPr>
                <w:szCs w:val="24"/>
                <w:lang w:val="en-US" w:eastAsia="en-US"/>
              </w:rPr>
            </w:pPr>
            <w:r w:rsidRPr="00F87C51">
              <w:rPr>
                <w:szCs w:val="24"/>
                <w:lang w:val="en-US" w:eastAsia="en-US"/>
              </w:rPr>
              <w:t>Relational efficiency</w:t>
            </w:r>
          </w:p>
        </w:tc>
        <w:tc>
          <w:tcPr>
            <w:tcW w:w="2850" w:type="dxa"/>
          </w:tcPr>
          <w:p w:rsidR="00F87C51" w:rsidRPr="00F87C51" w:rsidRDefault="00F87C51" w:rsidP="00F87C51">
            <w:pPr>
              <w:rPr>
                <w:szCs w:val="24"/>
                <w:lang w:val="en-US" w:eastAsia="en-US"/>
              </w:rPr>
            </w:pPr>
            <w:r w:rsidRPr="00F87C51">
              <w:rPr>
                <w:szCs w:val="24"/>
                <w:lang w:val="en-US" w:eastAsia="en-US"/>
              </w:rPr>
              <w:t>Are interfaces with other agendas effective to ensure alignment?</w:t>
            </w:r>
          </w:p>
        </w:tc>
        <w:tc>
          <w:tcPr>
            <w:tcW w:w="3292" w:type="dxa"/>
          </w:tcPr>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Adherence to marine and maritime policy frameworks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Cross-sectorial dialogue and coordination</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lastRenderedPageBreak/>
              <w:t>ERA agendas and objectives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EU Commission and H2020</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Interfaces and dialogues with industry groups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The identification of non-technological barriers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Effective involvement of academics, industry, regulatory agencies and policy makers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Address differences or inconsistencies in policy frameworks that have impacts on a given product or process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Involving experts and the external advisory board in ethical, regulatory and safety matters</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Effective communication and information system for interaction with users and producers of knowledge</w:t>
            </w:r>
          </w:p>
          <w:p w:rsidR="00F87C51" w:rsidRPr="00F87C51" w:rsidRDefault="00F87C51" w:rsidP="00F87C51">
            <w:pPr>
              <w:numPr>
                <w:ilvl w:val="0"/>
                <w:numId w:val="14"/>
              </w:numPr>
              <w:spacing w:before="200" w:after="200" w:line="276" w:lineRule="auto"/>
              <w:contextualSpacing/>
              <w:rPr>
                <w:szCs w:val="24"/>
                <w:lang w:val="en-US" w:eastAsia="en-US"/>
              </w:rPr>
            </w:pPr>
            <w:r w:rsidRPr="00F87C51">
              <w:rPr>
                <w:szCs w:val="24"/>
                <w:lang w:val="en-US" w:eastAsia="en-US"/>
              </w:rPr>
              <w:t>Effective contribution to global/regional activities through variable geometry</w:t>
            </w:r>
          </w:p>
        </w:tc>
      </w:tr>
    </w:tbl>
    <w:p w:rsidR="00F87C51" w:rsidRPr="006F6890" w:rsidRDefault="00F87C51">
      <w:pPr>
        <w:rPr>
          <w:szCs w:val="24"/>
          <w:lang w:val="nl-BE"/>
        </w:rPr>
      </w:pPr>
    </w:p>
    <w:sectPr w:rsidR="00F87C51" w:rsidRPr="006F68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heSans B7 Bold">
    <w:panose1 w:val="02000503040000020004"/>
    <w:charset w:val="00"/>
    <w:family w:val="auto"/>
    <w:pitch w:val="variable"/>
    <w:sig w:usb0="A00000AF" w:usb1="4000204A" w:usb2="00000000" w:usb3="00000000" w:csb0="000001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47BB"/>
    <w:multiLevelType w:val="hybridMultilevel"/>
    <w:tmpl w:val="46FA4C34"/>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
    <w:nsid w:val="14832CD2"/>
    <w:multiLevelType w:val="hybridMultilevel"/>
    <w:tmpl w:val="687CC88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
    <w:nsid w:val="15187CBC"/>
    <w:multiLevelType w:val="hybridMultilevel"/>
    <w:tmpl w:val="06261A52"/>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AED5CD4"/>
    <w:multiLevelType w:val="hybridMultilevel"/>
    <w:tmpl w:val="DE56254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4">
    <w:nsid w:val="3CCC11C2"/>
    <w:multiLevelType w:val="hybridMultilevel"/>
    <w:tmpl w:val="CB202C0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nsid w:val="44CD2E21"/>
    <w:multiLevelType w:val="hybridMultilevel"/>
    <w:tmpl w:val="1842EA48"/>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nsid w:val="48005AC8"/>
    <w:multiLevelType w:val="hybridMultilevel"/>
    <w:tmpl w:val="3AD20F8E"/>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7">
    <w:nsid w:val="480533F3"/>
    <w:multiLevelType w:val="hybridMultilevel"/>
    <w:tmpl w:val="4A7E158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nsid w:val="485B1D84"/>
    <w:multiLevelType w:val="hybridMultilevel"/>
    <w:tmpl w:val="7598CDE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9">
    <w:nsid w:val="4CC203B2"/>
    <w:multiLevelType w:val="hybridMultilevel"/>
    <w:tmpl w:val="D52EC16A"/>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nsid w:val="4F8315DA"/>
    <w:multiLevelType w:val="hybridMultilevel"/>
    <w:tmpl w:val="1AB021F0"/>
    <w:lvl w:ilvl="0" w:tplc="04140005">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6E504607"/>
    <w:multiLevelType w:val="hybridMultilevel"/>
    <w:tmpl w:val="6D527720"/>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2">
    <w:nsid w:val="7A560913"/>
    <w:multiLevelType w:val="hybridMultilevel"/>
    <w:tmpl w:val="9E2A1B16"/>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nsid w:val="7FDE4043"/>
    <w:multiLevelType w:val="hybridMultilevel"/>
    <w:tmpl w:val="9E6E92BC"/>
    <w:lvl w:ilvl="0" w:tplc="04140005">
      <w:start w:val="1"/>
      <w:numFmt w:val="bullet"/>
      <w:lvlText w:val=""/>
      <w:lvlJc w:val="left"/>
      <w:pPr>
        <w:ind w:left="360" w:hanging="360"/>
      </w:pPr>
      <w:rPr>
        <w:rFonts w:ascii="Wingdings" w:hAnsi="Wingdings"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9"/>
  </w:num>
  <w:num w:numId="4">
    <w:abstractNumId w:val="5"/>
  </w:num>
  <w:num w:numId="5">
    <w:abstractNumId w:val="8"/>
  </w:num>
  <w:num w:numId="6">
    <w:abstractNumId w:val="11"/>
  </w:num>
  <w:num w:numId="7">
    <w:abstractNumId w:val="4"/>
  </w:num>
  <w:num w:numId="8">
    <w:abstractNumId w:val="12"/>
  </w:num>
  <w:num w:numId="9">
    <w:abstractNumId w:val="13"/>
  </w:num>
  <w:num w:numId="10">
    <w:abstractNumId w:val="3"/>
  </w:num>
  <w:num w:numId="11">
    <w:abstractNumId w:val="10"/>
  </w:num>
  <w:num w:numId="12">
    <w:abstractNumId w:val="6"/>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7C51"/>
    <w:rsid w:val="005F1C05"/>
    <w:rsid w:val="006617C0"/>
    <w:rsid w:val="006E1927"/>
    <w:rsid w:val="006F6890"/>
    <w:rsid w:val="00B641D2"/>
    <w:rsid w:val="00F87C5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C0"/>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Bobletekst">
    <w:name w:val="Balloon Text"/>
    <w:basedOn w:val="Normal"/>
    <w:link w:val="BobletekstTegn"/>
    <w:uiPriority w:val="99"/>
    <w:semiHidden/>
    <w:unhideWhenUsed/>
    <w:rsid w:val="00F87C51"/>
    <w:rPr>
      <w:rFonts w:ascii="Tahoma" w:hAnsi="Tahoma" w:cs="Tahoma"/>
      <w:sz w:val="16"/>
      <w:szCs w:val="16"/>
    </w:rPr>
  </w:style>
  <w:style w:type="character" w:customStyle="1" w:styleId="BobletekstTegn">
    <w:name w:val="Bobletekst Tegn"/>
    <w:basedOn w:val="Standardskriftforavsnitt"/>
    <w:link w:val="Bobletekst"/>
    <w:uiPriority w:val="99"/>
    <w:semiHidden/>
    <w:rsid w:val="00F87C51"/>
    <w:rPr>
      <w:rFonts w:ascii="Tahoma" w:hAnsi="Tahoma" w:cs="Tahoma"/>
      <w:sz w:val="16"/>
      <w:szCs w:val="16"/>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7C0"/>
    <w:pPr>
      <w:spacing w:after="0" w:line="240" w:lineRule="auto"/>
    </w:pPr>
    <w:rPr>
      <w:rFonts w:ascii="Times New Roman" w:hAnsi="Times New Roman" w:cs="Times New Roman"/>
      <w:sz w:val="24"/>
      <w:szCs w:val="20"/>
      <w:lang w:eastAsia="nb-NO"/>
    </w:rPr>
  </w:style>
  <w:style w:type="paragraph" w:styleId="Overskrift1">
    <w:name w:val="heading 1"/>
    <w:basedOn w:val="Normal"/>
    <w:next w:val="Normal"/>
    <w:link w:val="Overskrift1Tegn"/>
    <w:qFormat/>
    <w:rsid w:val="006617C0"/>
    <w:pPr>
      <w:keepNext/>
      <w:keepLines/>
      <w:tabs>
        <w:tab w:val="left" w:pos="851"/>
      </w:tabs>
      <w:spacing w:after="600"/>
      <w:outlineLvl w:val="0"/>
    </w:pPr>
    <w:rPr>
      <w:rFonts w:ascii="TheSans B7 Bold" w:hAnsi="TheSans B7 Bold"/>
      <w:sz w:val="48"/>
    </w:rPr>
  </w:style>
  <w:style w:type="paragraph" w:styleId="Overskrift2">
    <w:name w:val="heading 2"/>
    <w:basedOn w:val="Normal"/>
    <w:next w:val="Normal"/>
    <w:link w:val="Overskrift2Tegn"/>
    <w:qFormat/>
    <w:rsid w:val="006617C0"/>
    <w:pPr>
      <w:keepNext/>
      <w:keepLines/>
      <w:tabs>
        <w:tab w:val="left" w:pos="851"/>
      </w:tabs>
      <w:spacing w:before="360" w:after="60"/>
      <w:outlineLvl w:val="1"/>
    </w:pPr>
    <w:rPr>
      <w:rFonts w:ascii="TheSans B7 Bold" w:hAnsi="TheSans B7 Bold"/>
      <w:sz w:val="30"/>
    </w:rPr>
  </w:style>
  <w:style w:type="paragraph" w:styleId="Overskrift3">
    <w:name w:val="heading 3"/>
    <w:basedOn w:val="Normal"/>
    <w:next w:val="Normal"/>
    <w:link w:val="Overskrift3Tegn"/>
    <w:qFormat/>
    <w:rsid w:val="006617C0"/>
    <w:pPr>
      <w:keepNext/>
      <w:keepLines/>
      <w:tabs>
        <w:tab w:val="left" w:pos="851"/>
      </w:tabs>
      <w:spacing w:before="360" w:after="60"/>
      <w:outlineLvl w:val="2"/>
    </w:pPr>
    <w:rPr>
      <w:rFonts w:ascii="TheSans B7 Bold" w:hAnsi="TheSans B7 Bold"/>
      <w:szCs w:val="23"/>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6617C0"/>
    <w:rPr>
      <w:rFonts w:ascii="TheSans B7 Bold" w:eastAsia="Times New Roman" w:hAnsi="TheSans B7 Bold" w:cs="Times New Roman"/>
      <w:sz w:val="48"/>
      <w:szCs w:val="20"/>
      <w:lang w:eastAsia="nb-NO"/>
    </w:rPr>
  </w:style>
  <w:style w:type="character" w:customStyle="1" w:styleId="Overskrift2Tegn">
    <w:name w:val="Overskrift 2 Tegn"/>
    <w:basedOn w:val="Standardskriftforavsnitt"/>
    <w:link w:val="Overskrift2"/>
    <w:rsid w:val="006617C0"/>
    <w:rPr>
      <w:rFonts w:ascii="TheSans B7 Bold" w:eastAsia="Times New Roman" w:hAnsi="TheSans B7 Bold" w:cs="Times New Roman"/>
      <w:sz w:val="30"/>
      <w:szCs w:val="20"/>
      <w:lang w:eastAsia="nb-NO"/>
    </w:rPr>
  </w:style>
  <w:style w:type="character" w:customStyle="1" w:styleId="Overskrift3Tegn">
    <w:name w:val="Overskrift 3 Tegn"/>
    <w:basedOn w:val="Standardskriftforavsnitt"/>
    <w:link w:val="Overskrift3"/>
    <w:rsid w:val="006617C0"/>
    <w:rPr>
      <w:rFonts w:ascii="TheSans B7 Bold" w:eastAsia="Times New Roman" w:hAnsi="TheSans B7 Bold" w:cs="Times New Roman"/>
      <w:sz w:val="24"/>
      <w:szCs w:val="23"/>
      <w:lang w:eastAsia="nb-NO"/>
    </w:rPr>
  </w:style>
  <w:style w:type="paragraph" w:customStyle="1" w:styleId="mellomtittel">
    <w:name w:val="mellomtittel"/>
    <w:basedOn w:val="Normal"/>
    <w:next w:val="Normal"/>
    <w:rsid w:val="006617C0"/>
    <w:pPr>
      <w:keepNext/>
      <w:keepLines/>
      <w:spacing w:before="360" w:after="60"/>
    </w:pPr>
    <w:rPr>
      <w:i/>
    </w:rPr>
  </w:style>
  <w:style w:type="paragraph" w:styleId="Bobletekst">
    <w:name w:val="Balloon Text"/>
    <w:basedOn w:val="Normal"/>
    <w:link w:val="BobletekstTegn"/>
    <w:uiPriority w:val="99"/>
    <w:semiHidden/>
    <w:unhideWhenUsed/>
    <w:rsid w:val="00F87C51"/>
    <w:rPr>
      <w:rFonts w:ascii="Tahoma" w:hAnsi="Tahoma" w:cs="Tahoma"/>
      <w:sz w:val="16"/>
      <w:szCs w:val="16"/>
    </w:rPr>
  </w:style>
  <w:style w:type="character" w:customStyle="1" w:styleId="BobletekstTegn">
    <w:name w:val="Bobletekst Tegn"/>
    <w:basedOn w:val="Standardskriftforavsnitt"/>
    <w:link w:val="Bobletekst"/>
    <w:uiPriority w:val="99"/>
    <w:semiHidden/>
    <w:rsid w:val="00F87C51"/>
    <w:rPr>
      <w:rFonts w:ascii="Tahoma" w:hAnsi="Tahoma" w:cs="Tahoma"/>
      <w:sz w:val="16"/>
      <w:szCs w:val="16"/>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1210</Words>
  <Characters>6415</Characters>
  <Application>Microsoft Office Word</Application>
  <DocSecurity>0</DocSecurity>
  <Lines>53</Lines>
  <Paragraphs>15</Paragraphs>
  <ScaleCrop>false</ScaleCrop>
  <HeadingPairs>
    <vt:vector size="2" baseType="variant">
      <vt:variant>
        <vt:lpstr>Tittel</vt:lpstr>
      </vt:variant>
      <vt:variant>
        <vt:i4>1</vt:i4>
      </vt:variant>
    </vt:vector>
  </HeadingPairs>
  <TitlesOfParts>
    <vt:vector size="1" baseType="lpstr">
      <vt:lpstr/>
    </vt:vector>
  </TitlesOfParts>
  <Company>Norges forskningsråd</Company>
  <LinksUpToDate>false</LinksUpToDate>
  <CharactersWithSpaces>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Svend Otto Remøe</dc:creator>
  <cp:lastModifiedBy>Svend Otto Remøe</cp:lastModifiedBy>
  <cp:revision>3</cp:revision>
  <dcterms:created xsi:type="dcterms:W3CDTF">2015-04-22T08:09:00Z</dcterms:created>
  <dcterms:modified xsi:type="dcterms:W3CDTF">2015-04-22T08:40:00Z</dcterms:modified>
</cp:coreProperties>
</file>