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28" w:rsidRPr="00DB2D28" w:rsidRDefault="00DB2D28" w:rsidP="00DB2D28">
      <w:pPr>
        <w:spacing w:before="200" w:after="200" w:line="276" w:lineRule="auto"/>
        <w:jc w:val="both"/>
        <w:rPr>
          <w:b/>
          <w:szCs w:val="24"/>
          <w:lang w:val="en-US" w:eastAsia="en-US"/>
        </w:rPr>
      </w:pPr>
      <w:r w:rsidRPr="00DB2D28">
        <w:rPr>
          <w:b/>
          <w:szCs w:val="24"/>
          <w:lang w:val="en-US" w:eastAsia="en-US"/>
        </w:rPr>
        <w:t>Evaluating structuring actions</w:t>
      </w:r>
    </w:p>
    <w:p w:rsidR="00DB2D28" w:rsidRPr="00DB2D28" w:rsidRDefault="00DB2D28" w:rsidP="00DB2D28">
      <w:pPr>
        <w:spacing w:before="200" w:after="200" w:line="276" w:lineRule="auto"/>
        <w:jc w:val="both"/>
        <w:rPr>
          <w:szCs w:val="24"/>
          <w:lang w:val="en-US" w:eastAsia="en-US"/>
        </w:rPr>
      </w:pPr>
      <w:r w:rsidRPr="00DB2D28">
        <w:rPr>
          <w:szCs w:val="24"/>
          <w:lang w:val="en-US" w:eastAsia="en-US"/>
        </w:rPr>
        <w:t xml:space="preserve">The recommendations below on structuring actions do not follow the structure of objectives for JPI Oceans. Rather, the structuring actions are by nature multi-purpose, and contribute typically to more than one objective. Hence, the intention in this set-up is to make the evaluation approach manageable, and flexible depending on which of these actions JPI Oceans decides to choose and implement, and to what extent. </w:t>
      </w:r>
    </w:p>
    <w:p w:rsidR="00DB2D28" w:rsidRPr="00DB2D28" w:rsidRDefault="00DB2D28" w:rsidP="00DB2D28">
      <w:pPr>
        <w:spacing w:before="200" w:after="200" w:line="276" w:lineRule="auto"/>
        <w:jc w:val="both"/>
        <w:rPr>
          <w:szCs w:val="24"/>
          <w:lang w:val="en-US" w:eastAsia="en-US"/>
        </w:rPr>
      </w:pPr>
      <w:r w:rsidRPr="00DB2D28">
        <w:rPr>
          <w:szCs w:val="24"/>
          <w:lang w:val="en-US" w:eastAsia="en-US"/>
        </w:rPr>
        <w:t>The structuring actions of JPI Oceans are here meant to be all dedicated actions or activities implemented with a clear intent to address one or more of JPI Oceans goals and objectives. More to the point, it includes actions directed on the research and innovation system as such, rather the policy system behind it, and which was discussed above. This means that structuring actions are those that intend to structure the research and innovation performing landscape and/or the very programs and policies on a national level that influence these.</w:t>
      </w:r>
    </w:p>
    <w:p w:rsidR="00DB2D28" w:rsidRPr="00DB2D28" w:rsidRDefault="00DB2D28" w:rsidP="00DB2D28">
      <w:pPr>
        <w:spacing w:before="200" w:after="200" w:line="276" w:lineRule="auto"/>
        <w:jc w:val="both"/>
        <w:rPr>
          <w:szCs w:val="24"/>
          <w:lang w:val="en-US" w:eastAsia="en-US"/>
        </w:rPr>
      </w:pPr>
      <w:r w:rsidRPr="00DB2D28">
        <w:rPr>
          <w:szCs w:val="24"/>
          <w:lang w:val="en-US" w:eastAsia="en-US"/>
        </w:rPr>
        <w:t>While many of these actions are for the JPI Oceans' domain, they are typically also in line with the over-arching objectives of ERA. This is obviously important for the JPI Oceans, being an ERA-instrument on its own. But coherence with ERA objectives should be an evaluation indicator, ensuring that the JPI, as other ERA initiatives, make up a coherent inner market and system for research and innovation. The ERA objectives are:</w:t>
      </w:r>
    </w:p>
    <w:p w:rsidR="00DB2D28" w:rsidRPr="00DB2D28" w:rsidRDefault="00DB2D28" w:rsidP="00DB2D28">
      <w:pPr>
        <w:pStyle w:val="Listeavsnitt"/>
        <w:numPr>
          <w:ilvl w:val="0"/>
          <w:numId w:val="18"/>
        </w:numPr>
        <w:jc w:val="both"/>
        <w:rPr>
          <w:rFonts w:ascii="Times New Roman" w:hAnsi="Times New Roman"/>
          <w:sz w:val="24"/>
          <w:szCs w:val="24"/>
          <w:lang w:val="en-US"/>
        </w:rPr>
      </w:pPr>
      <w:r w:rsidRPr="00DB2D28">
        <w:rPr>
          <w:rFonts w:ascii="Times New Roman" w:hAnsi="Times New Roman"/>
          <w:sz w:val="24"/>
          <w:szCs w:val="24"/>
          <w:lang w:val="en-US"/>
        </w:rPr>
        <w:t>Increased effectiveness of national research systems</w:t>
      </w:r>
    </w:p>
    <w:p w:rsidR="00DB2D28" w:rsidRPr="00DB2D28" w:rsidRDefault="00DB2D28" w:rsidP="00DB2D28">
      <w:pPr>
        <w:pStyle w:val="Listeavsnitt"/>
        <w:numPr>
          <w:ilvl w:val="0"/>
          <w:numId w:val="18"/>
        </w:numPr>
        <w:jc w:val="both"/>
        <w:rPr>
          <w:rFonts w:ascii="Times New Roman" w:hAnsi="Times New Roman"/>
          <w:sz w:val="24"/>
          <w:szCs w:val="24"/>
          <w:lang w:val="en-US"/>
        </w:rPr>
      </w:pPr>
      <w:r w:rsidRPr="00DB2D28">
        <w:rPr>
          <w:rFonts w:ascii="Times New Roman" w:hAnsi="Times New Roman"/>
          <w:sz w:val="24"/>
          <w:szCs w:val="24"/>
          <w:lang w:val="en-US"/>
        </w:rPr>
        <w:t>Optimal levels of transnational co-operation and competition (e.g. joint programs)</w:t>
      </w:r>
    </w:p>
    <w:p w:rsidR="00DB2D28" w:rsidRPr="00DB2D28" w:rsidRDefault="00DB2D28" w:rsidP="00DB2D28">
      <w:pPr>
        <w:pStyle w:val="Listeavsnitt"/>
        <w:numPr>
          <w:ilvl w:val="0"/>
          <w:numId w:val="18"/>
        </w:numPr>
        <w:jc w:val="both"/>
        <w:rPr>
          <w:rFonts w:ascii="Times New Roman" w:hAnsi="Times New Roman"/>
          <w:sz w:val="24"/>
          <w:szCs w:val="24"/>
          <w:lang w:val="en-US"/>
        </w:rPr>
      </w:pPr>
      <w:r w:rsidRPr="00DB2D28">
        <w:rPr>
          <w:rFonts w:ascii="Times New Roman" w:hAnsi="Times New Roman"/>
          <w:sz w:val="24"/>
          <w:szCs w:val="24"/>
          <w:lang w:val="en-US"/>
        </w:rPr>
        <w:t>A more open labor market for researchers</w:t>
      </w:r>
    </w:p>
    <w:p w:rsidR="00DB2D28" w:rsidRPr="00DB2D28" w:rsidRDefault="00DB2D28" w:rsidP="00DB2D28">
      <w:pPr>
        <w:pStyle w:val="Listeavsnitt"/>
        <w:numPr>
          <w:ilvl w:val="0"/>
          <w:numId w:val="18"/>
        </w:numPr>
        <w:jc w:val="both"/>
        <w:rPr>
          <w:rFonts w:ascii="Times New Roman" w:hAnsi="Times New Roman"/>
          <w:sz w:val="24"/>
          <w:szCs w:val="24"/>
          <w:lang w:val="en-US"/>
        </w:rPr>
      </w:pPr>
      <w:r w:rsidRPr="00DB2D28">
        <w:rPr>
          <w:rFonts w:ascii="Times New Roman" w:hAnsi="Times New Roman"/>
          <w:sz w:val="24"/>
          <w:szCs w:val="24"/>
          <w:lang w:val="en-US"/>
        </w:rPr>
        <w:t>Optimal circulation, access to and transfer of scientific knowledge</w:t>
      </w:r>
    </w:p>
    <w:p w:rsidR="00DB2D28" w:rsidRPr="00DB2D28" w:rsidRDefault="009C0062" w:rsidP="00DB2D28">
      <w:pPr>
        <w:spacing w:before="200" w:after="200" w:line="276" w:lineRule="auto"/>
        <w:jc w:val="both"/>
        <w:rPr>
          <w:szCs w:val="24"/>
          <w:lang w:val="en-US" w:eastAsia="en-US"/>
        </w:rPr>
      </w:pPr>
      <w:r>
        <w:rPr>
          <w:szCs w:val="24"/>
          <w:lang w:val="en-US" w:eastAsia="en-US"/>
        </w:rPr>
        <w:t>Depending on the action to evaluated, the table below contains a set of indicators that may be used.</w:t>
      </w:r>
    </w:p>
    <w:p w:rsidR="00DB2D28" w:rsidRPr="00DB2D28" w:rsidRDefault="00DB2D28" w:rsidP="00DB2D28">
      <w:pPr>
        <w:spacing w:before="200" w:after="200" w:line="276" w:lineRule="auto"/>
        <w:jc w:val="both"/>
        <w:rPr>
          <w:sz w:val="22"/>
          <w:lang w:val="en-US" w:eastAsia="en-US"/>
        </w:rPr>
      </w:pPr>
      <w:r w:rsidRPr="00DB2D28">
        <w:rPr>
          <w:sz w:val="22"/>
          <w:lang w:val="en-US" w:eastAsia="en-US"/>
        </w:rPr>
        <w:br w:type="page"/>
      </w:r>
    </w:p>
    <w:p w:rsidR="00DB2D28" w:rsidRPr="00DB2D28" w:rsidRDefault="00DB2D28" w:rsidP="00DB2D28">
      <w:pPr>
        <w:spacing w:before="200" w:after="200" w:line="276" w:lineRule="auto"/>
        <w:jc w:val="both"/>
        <w:rPr>
          <w:b/>
          <w:szCs w:val="24"/>
          <w:lang w:val="en-US" w:eastAsia="en-US"/>
        </w:rPr>
      </w:pPr>
      <w:r w:rsidRPr="00DB2D28">
        <w:rPr>
          <w:b/>
          <w:szCs w:val="24"/>
          <w:lang w:val="en-US" w:eastAsia="en-US"/>
        </w:rPr>
        <w:lastRenderedPageBreak/>
        <w:t>Evaluating structuring 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1984"/>
        <w:gridCol w:w="3368"/>
      </w:tblGrid>
      <w:tr w:rsidR="00DB2D28" w:rsidRPr="00DB2D28" w:rsidTr="0086107E">
        <w:tc>
          <w:tcPr>
            <w:tcW w:w="1809" w:type="dxa"/>
          </w:tcPr>
          <w:p w:rsidR="00DB2D28" w:rsidRPr="00DB2D28" w:rsidRDefault="00DB2D28" w:rsidP="00DB2D28">
            <w:pPr>
              <w:jc w:val="both"/>
              <w:rPr>
                <w:szCs w:val="24"/>
                <w:lang w:val="en-US" w:eastAsia="en-US"/>
              </w:rPr>
            </w:pPr>
            <w:r w:rsidRPr="00DB2D28">
              <w:rPr>
                <w:szCs w:val="24"/>
                <w:lang w:val="en-US" w:eastAsia="en-US"/>
              </w:rPr>
              <w:t>Type of action</w:t>
            </w:r>
          </w:p>
        </w:tc>
        <w:tc>
          <w:tcPr>
            <w:tcW w:w="2127" w:type="dxa"/>
          </w:tcPr>
          <w:p w:rsidR="00DB2D28" w:rsidRPr="00DB2D28" w:rsidRDefault="00DB2D28" w:rsidP="00DB2D28">
            <w:pPr>
              <w:jc w:val="both"/>
              <w:rPr>
                <w:szCs w:val="24"/>
                <w:lang w:val="en-US" w:eastAsia="en-US"/>
              </w:rPr>
            </w:pPr>
            <w:r w:rsidRPr="00DB2D28">
              <w:rPr>
                <w:szCs w:val="24"/>
                <w:lang w:val="en-US" w:eastAsia="en-US"/>
              </w:rPr>
              <w:t>Action/instrument</w:t>
            </w:r>
          </w:p>
        </w:tc>
        <w:tc>
          <w:tcPr>
            <w:tcW w:w="1984" w:type="dxa"/>
          </w:tcPr>
          <w:p w:rsidR="00DB2D28" w:rsidRPr="00DB2D28" w:rsidRDefault="00DB2D28" w:rsidP="00DB2D28">
            <w:pPr>
              <w:jc w:val="both"/>
              <w:rPr>
                <w:szCs w:val="24"/>
                <w:lang w:val="en-US" w:eastAsia="en-US"/>
              </w:rPr>
            </w:pPr>
            <w:r w:rsidRPr="00DB2D28">
              <w:rPr>
                <w:szCs w:val="24"/>
                <w:lang w:val="en-US" w:eastAsia="en-US"/>
              </w:rPr>
              <w:t>Key issue</w:t>
            </w:r>
          </w:p>
        </w:tc>
        <w:tc>
          <w:tcPr>
            <w:tcW w:w="3368" w:type="dxa"/>
          </w:tcPr>
          <w:p w:rsidR="00DB2D28" w:rsidRPr="00DB2D28" w:rsidRDefault="00DB2D28" w:rsidP="00DB2D28">
            <w:pPr>
              <w:jc w:val="both"/>
              <w:rPr>
                <w:szCs w:val="24"/>
                <w:lang w:val="en-US" w:eastAsia="en-US"/>
              </w:rPr>
            </w:pPr>
            <w:r w:rsidRPr="00DB2D28">
              <w:rPr>
                <w:szCs w:val="24"/>
                <w:lang w:val="en-US" w:eastAsia="en-US"/>
              </w:rPr>
              <w:t>Indicator example</w:t>
            </w:r>
          </w:p>
        </w:tc>
      </w:tr>
      <w:tr w:rsidR="00DB2D28" w:rsidRPr="00DB2D28" w:rsidTr="0086107E">
        <w:tc>
          <w:tcPr>
            <w:tcW w:w="1809" w:type="dxa"/>
          </w:tcPr>
          <w:p w:rsidR="00DB2D28" w:rsidRPr="00DB2D28" w:rsidRDefault="00DB2D28" w:rsidP="00DB2D28">
            <w:pPr>
              <w:rPr>
                <w:szCs w:val="24"/>
                <w:lang w:val="en-US" w:eastAsia="en-US"/>
              </w:rPr>
            </w:pPr>
            <w:r w:rsidRPr="00DB2D28">
              <w:rPr>
                <w:szCs w:val="24"/>
                <w:lang w:val="en-US" w:eastAsia="en-US"/>
              </w:rPr>
              <w:t>Research and innovation</w:t>
            </w:r>
          </w:p>
        </w:tc>
        <w:tc>
          <w:tcPr>
            <w:tcW w:w="2127" w:type="dxa"/>
          </w:tcPr>
          <w:p w:rsidR="00DB2D28" w:rsidRPr="00DB2D28" w:rsidRDefault="00DB2D28" w:rsidP="00DB2D28">
            <w:pPr>
              <w:rPr>
                <w:szCs w:val="24"/>
                <w:lang w:val="en-US" w:eastAsia="en-US"/>
              </w:rPr>
            </w:pPr>
            <w:r w:rsidRPr="00DB2D28">
              <w:rPr>
                <w:szCs w:val="24"/>
                <w:lang w:val="en-US" w:eastAsia="en-US"/>
              </w:rPr>
              <w:t>Design and management of joint calls</w:t>
            </w:r>
          </w:p>
        </w:tc>
        <w:tc>
          <w:tcPr>
            <w:tcW w:w="1984" w:type="dxa"/>
          </w:tcPr>
          <w:p w:rsidR="00DB2D28" w:rsidRPr="00DB2D28" w:rsidRDefault="00DB2D28" w:rsidP="00DB2D28">
            <w:pPr>
              <w:rPr>
                <w:szCs w:val="24"/>
                <w:lang w:val="en-US" w:eastAsia="en-US"/>
              </w:rPr>
            </w:pPr>
            <w:r w:rsidRPr="00DB2D28">
              <w:rPr>
                <w:szCs w:val="24"/>
                <w:lang w:val="en-US" w:eastAsia="en-US"/>
              </w:rPr>
              <w:t>Successful launch of joint calls</w:t>
            </w:r>
          </w:p>
        </w:tc>
        <w:tc>
          <w:tcPr>
            <w:tcW w:w="3368" w:type="dxa"/>
          </w:tcPr>
          <w:p w:rsidR="00DB2D28" w:rsidRPr="00DB2D28" w:rsidRDefault="00DB2D28" w:rsidP="00DB2D28">
            <w:pPr>
              <w:numPr>
                <w:ilvl w:val="0"/>
                <w:numId w:val="17"/>
              </w:numPr>
              <w:spacing w:before="200" w:after="200" w:line="276" w:lineRule="auto"/>
              <w:rPr>
                <w:szCs w:val="24"/>
                <w:lang w:val="en-US" w:eastAsia="en-US"/>
              </w:rPr>
            </w:pPr>
            <w:r w:rsidRPr="00DB2D28">
              <w:rPr>
                <w:szCs w:val="24"/>
                <w:lang w:val="en-US" w:eastAsia="en-US"/>
              </w:rPr>
              <w:t>See separate doc on joint calls (deliverable 2.3)</w:t>
            </w:r>
          </w:p>
          <w:p w:rsidR="00DB2D28" w:rsidRPr="00DB2D28" w:rsidRDefault="00DB2D28" w:rsidP="00DB2D28">
            <w:pPr>
              <w:numPr>
                <w:ilvl w:val="0"/>
                <w:numId w:val="17"/>
              </w:numPr>
              <w:spacing w:before="200" w:after="200" w:line="276" w:lineRule="auto"/>
              <w:rPr>
                <w:szCs w:val="24"/>
                <w:lang w:val="en-US" w:eastAsia="en-US"/>
              </w:rPr>
            </w:pPr>
            <w:r w:rsidRPr="00DB2D28">
              <w:rPr>
                <w:szCs w:val="24"/>
                <w:lang w:val="en-US" w:eastAsia="en-US"/>
              </w:rPr>
              <w:t>Web link:</w:t>
            </w:r>
          </w:p>
        </w:tc>
      </w:tr>
      <w:tr w:rsidR="00DB2D28" w:rsidRPr="00DB2D28" w:rsidTr="0086107E">
        <w:tc>
          <w:tcPr>
            <w:tcW w:w="1809" w:type="dxa"/>
          </w:tcPr>
          <w:p w:rsidR="00DB2D28" w:rsidRPr="00DB2D28" w:rsidRDefault="00DB2D28" w:rsidP="00DB2D28">
            <w:pPr>
              <w:rPr>
                <w:szCs w:val="24"/>
                <w:lang w:val="en-US" w:eastAsia="en-US"/>
              </w:rPr>
            </w:pPr>
          </w:p>
        </w:tc>
        <w:tc>
          <w:tcPr>
            <w:tcW w:w="2127" w:type="dxa"/>
          </w:tcPr>
          <w:p w:rsidR="00DB2D28" w:rsidRPr="00DB2D28" w:rsidRDefault="00DB2D28" w:rsidP="00DB2D28">
            <w:pPr>
              <w:rPr>
                <w:szCs w:val="24"/>
                <w:lang w:val="en-US" w:eastAsia="en-US"/>
              </w:rPr>
            </w:pPr>
            <w:r w:rsidRPr="00DB2D28">
              <w:rPr>
                <w:szCs w:val="24"/>
                <w:lang w:val="en-US" w:eastAsia="en-US"/>
              </w:rPr>
              <w:t>Joint public procurement</w:t>
            </w:r>
          </w:p>
        </w:tc>
        <w:tc>
          <w:tcPr>
            <w:tcW w:w="1984" w:type="dxa"/>
          </w:tcPr>
          <w:p w:rsidR="00DB2D28" w:rsidRPr="00DB2D28" w:rsidRDefault="00DB2D28" w:rsidP="00DB2D28">
            <w:pPr>
              <w:rPr>
                <w:szCs w:val="24"/>
                <w:lang w:val="en-US" w:eastAsia="en-US"/>
              </w:rPr>
            </w:pPr>
            <w:r w:rsidRPr="00DB2D28">
              <w:rPr>
                <w:szCs w:val="24"/>
                <w:lang w:val="en-US" w:eastAsia="en-US"/>
              </w:rPr>
              <w:t>Implemented JPP projects</w:t>
            </w:r>
          </w:p>
        </w:tc>
        <w:tc>
          <w:tcPr>
            <w:tcW w:w="3368" w:type="dxa"/>
          </w:tcPr>
          <w:p w:rsidR="00DB2D28" w:rsidRPr="00DB2D28" w:rsidRDefault="00DB2D28" w:rsidP="00DB2D28">
            <w:pPr>
              <w:numPr>
                <w:ilvl w:val="0"/>
                <w:numId w:val="1"/>
              </w:numPr>
              <w:spacing w:before="200" w:after="200" w:line="276" w:lineRule="auto"/>
              <w:contextualSpacing/>
              <w:rPr>
                <w:szCs w:val="24"/>
                <w:lang w:val="en-US" w:eastAsia="en-US"/>
              </w:rPr>
            </w:pPr>
            <w:r w:rsidRPr="00DB2D28">
              <w:rPr>
                <w:szCs w:val="24"/>
                <w:lang w:val="en-US" w:eastAsia="en-US"/>
              </w:rPr>
              <w:t>Agreed platform for JPPs for selection and implementation</w:t>
            </w:r>
          </w:p>
          <w:p w:rsidR="00DB2D28" w:rsidRPr="00DB2D28" w:rsidRDefault="00DB2D28" w:rsidP="00DB2D28">
            <w:pPr>
              <w:numPr>
                <w:ilvl w:val="0"/>
                <w:numId w:val="1"/>
              </w:numPr>
              <w:spacing w:before="200" w:after="200" w:line="276" w:lineRule="auto"/>
              <w:contextualSpacing/>
              <w:rPr>
                <w:szCs w:val="24"/>
                <w:lang w:val="en-US" w:eastAsia="en-US"/>
              </w:rPr>
            </w:pPr>
            <w:r w:rsidRPr="00DB2D28">
              <w:rPr>
                <w:szCs w:val="24"/>
                <w:lang w:val="en-US" w:eastAsia="en-US"/>
              </w:rPr>
              <w:t>Number and scope of JPPs</w:t>
            </w:r>
          </w:p>
          <w:p w:rsidR="00DB2D28" w:rsidRPr="00DB2D28" w:rsidRDefault="00DB2D28" w:rsidP="00DB2D28">
            <w:pPr>
              <w:numPr>
                <w:ilvl w:val="0"/>
                <w:numId w:val="1"/>
              </w:numPr>
              <w:spacing w:before="200" w:after="200" w:line="276" w:lineRule="auto"/>
              <w:contextualSpacing/>
              <w:rPr>
                <w:szCs w:val="24"/>
                <w:lang w:val="en-US" w:eastAsia="en-US"/>
              </w:rPr>
            </w:pPr>
            <w:r w:rsidRPr="00DB2D28">
              <w:rPr>
                <w:szCs w:val="24"/>
                <w:lang w:val="en-US" w:eastAsia="en-US"/>
              </w:rPr>
              <w:t>Significant impact on aggregate demand</w:t>
            </w:r>
          </w:p>
          <w:p w:rsidR="00DB2D28" w:rsidRPr="00DB2D28" w:rsidRDefault="00DB2D28" w:rsidP="00DB2D28">
            <w:pPr>
              <w:numPr>
                <w:ilvl w:val="0"/>
                <w:numId w:val="1"/>
              </w:numPr>
              <w:spacing w:before="200" w:after="200" w:line="276" w:lineRule="auto"/>
              <w:contextualSpacing/>
              <w:rPr>
                <w:szCs w:val="24"/>
                <w:lang w:val="en-US" w:eastAsia="en-US"/>
              </w:rPr>
            </w:pPr>
            <w:r w:rsidRPr="00DB2D28">
              <w:rPr>
                <w:szCs w:val="24"/>
                <w:lang w:val="en-US" w:eastAsia="en-US"/>
              </w:rPr>
              <w:t>Identifiable new solutions on the market</w:t>
            </w:r>
          </w:p>
        </w:tc>
      </w:tr>
      <w:tr w:rsidR="00DB2D28" w:rsidRPr="00DB2D28" w:rsidTr="0086107E">
        <w:tc>
          <w:tcPr>
            <w:tcW w:w="1809" w:type="dxa"/>
          </w:tcPr>
          <w:p w:rsidR="00DB2D28" w:rsidRPr="00DB2D28" w:rsidRDefault="00DB2D28" w:rsidP="00DB2D28">
            <w:pPr>
              <w:rPr>
                <w:szCs w:val="24"/>
                <w:lang w:val="en-US" w:eastAsia="en-US"/>
              </w:rPr>
            </w:pPr>
          </w:p>
        </w:tc>
        <w:tc>
          <w:tcPr>
            <w:tcW w:w="2127" w:type="dxa"/>
          </w:tcPr>
          <w:p w:rsidR="00DB2D28" w:rsidRPr="00DB2D28" w:rsidRDefault="00DB2D28" w:rsidP="00DB2D28">
            <w:pPr>
              <w:rPr>
                <w:szCs w:val="24"/>
                <w:lang w:val="en-US" w:eastAsia="en-US"/>
              </w:rPr>
            </w:pPr>
            <w:r w:rsidRPr="00DB2D28">
              <w:rPr>
                <w:szCs w:val="24"/>
                <w:lang w:val="en-US" w:eastAsia="en-US"/>
              </w:rPr>
              <w:t>Engaging structural funds</w:t>
            </w:r>
          </w:p>
        </w:tc>
        <w:tc>
          <w:tcPr>
            <w:tcW w:w="1984" w:type="dxa"/>
          </w:tcPr>
          <w:p w:rsidR="00DB2D28" w:rsidRPr="00DB2D28" w:rsidRDefault="00DB2D28" w:rsidP="00DB2D28">
            <w:pPr>
              <w:rPr>
                <w:szCs w:val="24"/>
                <w:lang w:val="en-US" w:eastAsia="en-US"/>
              </w:rPr>
            </w:pPr>
            <w:r w:rsidRPr="00DB2D28">
              <w:rPr>
                <w:szCs w:val="24"/>
                <w:lang w:val="en-US" w:eastAsia="en-US"/>
              </w:rPr>
              <w:t>Inclusion of JPI Oceans activities in strategic planning of structural funds for enhanced synergies between structural funds, H2020, and national/regional funding</w:t>
            </w:r>
          </w:p>
        </w:tc>
        <w:tc>
          <w:tcPr>
            <w:tcW w:w="3368" w:type="dxa"/>
          </w:tcPr>
          <w:p w:rsidR="00DB2D28" w:rsidRPr="00DB2D28" w:rsidRDefault="00DB2D28" w:rsidP="00DB2D28">
            <w:pPr>
              <w:numPr>
                <w:ilvl w:val="0"/>
                <w:numId w:val="2"/>
              </w:numPr>
              <w:spacing w:before="200" w:after="200" w:line="276" w:lineRule="auto"/>
              <w:contextualSpacing/>
              <w:rPr>
                <w:szCs w:val="24"/>
                <w:lang w:val="en-US" w:eastAsia="en-US"/>
              </w:rPr>
            </w:pPr>
            <w:r w:rsidRPr="00DB2D28">
              <w:rPr>
                <w:szCs w:val="24"/>
                <w:lang w:val="en-US" w:eastAsia="en-US"/>
              </w:rPr>
              <w:t>Inclusion in strategic documents for selected regions</w:t>
            </w:r>
          </w:p>
          <w:p w:rsidR="00DB2D28" w:rsidRPr="00DB2D28" w:rsidRDefault="00DB2D28" w:rsidP="00DB2D28">
            <w:pPr>
              <w:numPr>
                <w:ilvl w:val="0"/>
                <w:numId w:val="2"/>
              </w:numPr>
              <w:spacing w:before="200" w:after="200" w:line="276" w:lineRule="auto"/>
              <w:contextualSpacing/>
              <w:rPr>
                <w:szCs w:val="24"/>
                <w:lang w:val="en-US" w:eastAsia="en-US"/>
              </w:rPr>
            </w:pPr>
            <w:r w:rsidRPr="00DB2D28">
              <w:rPr>
                <w:szCs w:val="24"/>
                <w:lang w:val="en-US" w:eastAsia="en-US"/>
              </w:rPr>
              <w:t>Number of co-funded activities</w:t>
            </w:r>
          </w:p>
          <w:p w:rsidR="00DB2D28" w:rsidRPr="00DB2D28" w:rsidRDefault="00DB2D28" w:rsidP="00DB2D28">
            <w:pPr>
              <w:numPr>
                <w:ilvl w:val="0"/>
                <w:numId w:val="2"/>
              </w:numPr>
              <w:spacing w:before="200" w:after="200" w:line="276" w:lineRule="auto"/>
              <w:contextualSpacing/>
              <w:rPr>
                <w:szCs w:val="24"/>
                <w:lang w:val="en-US" w:eastAsia="en-US"/>
              </w:rPr>
            </w:pPr>
            <w:r w:rsidRPr="00DB2D28">
              <w:rPr>
                <w:szCs w:val="24"/>
                <w:lang w:val="en-US" w:eastAsia="en-US"/>
              </w:rPr>
              <w:t>Scope of co-funded activities</w:t>
            </w:r>
          </w:p>
          <w:p w:rsidR="00DB2D28" w:rsidRPr="00DB2D28" w:rsidRDefault="00DB2D28" w:rsidP="00DB2D28">
            <w:pPr>
              <w:numPr>
                <w:ilvl w:val="0"/>
                <w:numId w:val="2"/>
              </w:numPr>
              <w:spacing w:before="200" w:after="200" w:line="276" w:lineRule="auto"/>
              <w:contextualSpacing/>
              <w:rPr>
                <w:szCs w:val="24"/>
                <w:lang w:val="en-US" w:eastAsia="en-US"/>
              </w:rPr>
            </w:pPr>
            <w:r w:rsidRPr="00DB2D28">
              <w:rPr>
                <w:szCs w:val="24"/>
                <w:lang w:val="en-US" w:eastAsia="en-US"/>
              </w:rPr>
              <w:t>Regional economic impact</w:t>
            </w:r>
          </w:p>
          <w:p w:rsidR="00DB2D28" w:rsidRPr="00DB2D28" w:rsidRDefault="00DB2D28" w:rsidP="00DB2D28">
            <w:pPr>
              <w:numPr>
                <w:ilvl w:val="0"/>
                <w:numId w:val="2"/>
              </w:numPr>
              <w:spacing w:before="200" w:after="200" w:line="276" w:lineRule="auto"/>
              <w:contextualSpacing/>
              <w:rPr>
                <w:szCs w:val="24"/>
                <w:lang w:val="en-US" w:eastAsia="en-US"/>
              </w:rPr>
            </w:pPr>
            <w:r w:rsidRPr="00DB2D28">
              <w:rPr>
                <w:szCs w:val="24"/>
                <w:lang w:val="en-US" w:eastAsia="en-US"/>
              </w:rPr>
              <w:t>Regional impact on research and innovation</w:t>
            </w:r>
          </w:p>
        </w:tc>
      </w:tr>
      <w:tr w:rsidR="00DB2D28" w:rsidRPr="00DB2D28" w:rsidTr="0086107E">
        <w:tc>
          <w:tcPr>
            <w:tcW w:w="1809" w:type="dxa"/>
          </w:tcPr>
          <w:p w:rsidR="00DB2D28" w:rsidRPr="00DB2D28" w:rsidRDefault="00DB2D28" w:rsidP="00DB2D28">
            <w:pPr>
              <w:rPr>
                <w:szCs w:val="24"/>
                <w:lang w:val="en-US" w:eastAsia="en-US"/>
              </w:rPr>
            </w:pPr>
            <w:r w:rsidRPr="00DB2D28">
              <w:rPr>
                <w:szCs w:val="24"/>
                <w:lang w:val="en-US" w:eastAsia="en-US"/>
              </w:rPr>
              <w:t>Connectivity</w:t>
            </w:r>
          </w:p>
        </w:tc>
        <w:tc>
          <w:tcPr>
            <w:tcW w:w="2127" w:type="dxa"/>
          </w:tcPr>
          <w:p w:rsidR="00DB2D28" w:rsidRPr="00DB2D28" w:rsidRDefault="00DB2D28" w:rsidP="00DB2D28">
            <w:pPr>
              <w:rPr>
                <w:szCs w:val="24"/>
                <w:lang w:val="en-US" w:eastAsia="en-US"/>
              </w:rPr>
            </w:pPr>
            <w:r w:rsidRPr="00DB2D28">
              <w:rPr>
                <w:szCs w:val="24"/>
                <w:lang w:val="en-US" w:eastAsia="en-US"/>
              </w:rPr>
              <w:t>Research alliances</w:t>
            </w:r>
          </w:p>
        </w:tc>
        <w:tc>
          <w:tcPr>
            <w:tcW w:w="1984" w:type="dxa"/>
          </w:tcPr>
          <w:p w:rsidR="00DB2D28" w:rsidRPr="00DB2D28" w:rsidRDefault="00DB2D28" w:rsidP="00DB2D28">
            <w:pPr>
              <w:rPr>
                <w:szCs w:val="24"/>
                <w:lang w:val="en-US" w:eastAsia="en-US"/>
              </w:rPr>
            </w:pPr>
            <w:r w:rsidRPr="00DB2D28">
              <w:rPr>
                <w:szCs w:val="24"/>
                <w:lang w:val="en-US" w:eastAsia="en-US"/>
              </w:rPr>
              <w:t>Creation of strategic research alliances in marine/maritime domain to achieve a more coordinated institutional structure in Europe</w:t>
            </w:r>
          </w:p>
        </w:tc>
        <w:tc>
          <w:tcPr>
            <w:tcW w:w="3368" w:type="dxa"/>
          </w:tcPr>
          <w:p w:rsidR="00DB2D28" w:rsidRPr="00DB2D28" w:rsidRDefault="00DB2D28" w:rsidP="00DB2D28">
            <w:pPr>
              <w:numPr>
                <w:ilvl w:val="0"/>
                <w:numId w:val="3"/>
              </w:numPr>
              <w:spacing w:before="200" w:after="200" w:line="276" w:lineRule="auto"/>
              <w:contextualSpacing/>
              <w:rPr>
                <w:szCs w:val="24"/>
                <w:lang w:val="en-US" w:eastAsia="en-US"/>
              </w:rPr>
            </w:pPr>
            <w:r w:rsidRPr="00DB2D28">
              <w:rPr>
                <w:szCs w:val="24"/>
                <w:lang w:val="en-US" w:eastAsia="en-US"/>
              </w:rPr>
              <w:t>Coverage of marine and maritime research fields</w:t>
            </w:r>
          </w:p>
          <w:p w:rsidR="00DB2D28" w:rsidRPr="00DB2D28" w:rsidRDefault="00DB2D28" w:rsidP="00DB2D28">
            <w:pPr>
              <w:numPr>
                <w:ilvl w:val="0"/>
                <w:numId w:val="3"/>
              </w:numPr>
              <w:spacing w:before="200" w:after="200" w:line="276" w:lineRule="auto"/>
              <w:contextualSpacing/>
              <w:rPr>
                <w:szCs w:val="24"/>
                <w:lang w:val="en-US" w:eastAsia="en-US"/>
              </w:rPr>
            </w:pPr>
            <w:r w:rsidRPr="00DB2D28">
              <w:rPr>
                <w:szCs w:val="24"/>
                <w:lang w:val="en-US" w:eastAsia="en-US"/>
              </w:rPr>
              <w:t>Number of alliances</w:t>
            </w:r>
          </w:p>
          <w:p w:rsidR="00DB2D28" w:rsidRPr="00DB2D28" w:rsidRDefault="00DB2D28" w:rsidP="00DB2D28">
            <w:pPr>
              <w:numPr>
                <w:ilvl w:val="0"/>
                <w:numId w:val="3"/>
              </w:numPr>
              <w:spacing w:before="200" w:after="200" w:line="276" w:lineRule="auto"/>
              <w:contextualSpacing/>
              <w:rPr>
                <w:szCs w:val="24"/>
                <w:lang w:val="en-US" w:eastAsia="en-US"/>
              </w:rPr>
            </w:pPr>
            <w:r w:rsidRPr="00DB2D28">
              <w:rPr>
                <w:szCs w:val="24"/>
                <w:lang w:val="en-US" w:eastAsia="en-US"/>
              </w:rPr>
              <w:t>Identifiable coordination/alignment of strategic research programs</w:t>
            </w:r>
          </w:p>
          <w:p w:rsidR="00DB2D28" w:rsidRPr="00DB2D28" w:rsidRDefault="00DB2D28" w:rsidP="00DB2D28">
            <w:pPr>
              <w:numPr>
                <w:ilvl w:val="0"/>
                <w:numId w:val="3"/>
              </w:numPr>
              <w:spacing w:before="200" w:after="200" w:line="276" w:lineRule="auto"/>
              <w:contextualSpacing/>
              <w:rPr>
                <w:szCs w:val="24"/>
                <w:lang w:val="en-US" w:eastAsia="en-US"/>
              </w:rPr>
            </w:pPr>
            <w:r w:rsidRPr="00DB2D28">
              <w:rPr>
                <w:szCs w:val="24"/>
                <w:lang w:val="en-US" w:eastAsia="en-US"/>
              </w:rPr>
              <w:t>Number of co-publications and scientific impact</w:t>
            </w:r>
          </w:p>
          <w:p w:rsidR="00DB2D28" w:rsidRPr="00DB2D28" w:rsidRDefault="00DB2D28" w:rsidP="00DB2D28">
            <w:pPr>
              <w:numPr>
                <w:ilvl w:val="0"/>
                <w:numId w:val="3"/>
              </w:numPr>
              <w:spacing w:before="200" w:after="200" w:line="276" w:lineRule="auto"/>
              <w:contextualSpacing/>
              <w:rPr>
                <w:szCs w:val="24"/>
                <w:lang w:val="en-US" w:eastAsia="en-US"/>
              </w:rPr>
            </w:pPr>
            <w:r w:rsidRPr="00DB2D28">
              <w:rPr>
                <w:szCs w:val="24"/>
                <w:lang w:val="en-US" w:eastAsia="en-US"/>
              </w:rPr>
              <w:t>Improved science-to policy links</w:t>
            </w:r>
          </w:p>
        </w:tc>
      </w:tr>
      <w:tr w:rsidR="00DB2D28" w:rsidRPr="00DB2D28" w:rsidTr="0086107E">
        <w:tc>
          <w:tcPr>
            <w:tcW w:w="1809" w:type="dxa"/>
          </w:tcPr>
          <w:p w:rsidR="00DB2D28" w:rsidRPr="00DB2D28" w:rsidRDefault="00DB2D28" w:rsidP="00DB2D28">
            <w:pPr>
              <w:rPr>
                <w:szCs w:val="24"/>
                <w:lang w:val="en-US" w:eastAsia="en-US"/>
              </w:rPr>
            </w:pPr>
          </w:p>
        </w:tc>
        <w:tc>
          <w:tcPr>
            <w:tcW w:w="2127" w:type="dxa"/>
          </w:tcPr>
          <w:p w:rsidR="00DB2D28" w:rsidRPr="00DB2D28" w:rsidRDefault="00DB2D28" w:rsidP="00DB2D28">
            <w:pPr>
              <w:rPr>
                <w:szCs w:val="24"/>
                <w:lang w:val="en-US" w:eastAsia="en-US"/>
              </w:rPr>
            </w:pPr>
            <w:r w:rsidRPr="00DB2D28">
              <w:rPr>
                <w:szCs w:val="24"/>
                <w:lang w:val="en-US" w:eastAsia="en-US"/>
              </w:rPr>
              <w:t>Knowledge hubs</w:t>
            </w:r>
          </w:p>
        </w:tc>
        <w:tc>
          <w:tcPr>
            <w:tcW w:w="1984" w:type="dxa"/>
          </w:tcPr>
          <w:p w:rsidR="00DB2D28" w:rsidRPr="00DB2D28" w:rsidRDefault="00DB2D28" w:rsidP="00DB2D28">
            <w:pPr>
              <w:rPr>
                <w:szCs w:val="24"/>
                <w:lang w:val="en-US" w:eastAsia="en-US"/>
              </w:rPr>
            </w:pPr>
            <w:r w:rsidRPr="00DB2D28">
              <w:rPr>
                <w:szCs w:val="24"/>
                <w:lang w:val="en-US" w:eastAsia="en-US"/>
              </w:rPr>
              <w:t>Creation of dedicated knowledge hubs to achieve a more coherent institutional structure with critical mass in selected areas</w:t>
            </w:r>
          </w:p>
        </w:tc>
        <w:tc>
          <w:tcPr>
            <w:tcW w:w="3368" w:type="dxa"/>
          </w:tcPr>
          <w:p w:rsidR="00DB2D28" w:rsidRPr="00DB2D28" w:rsidRDefault="00DB2D28" w:rsidP="00DB2D28">
            <w:pPr>
              <w:numPr>
                <w:ilvl w:val="0"/>
                <w:numId w:val="4"/>
              </w:numPr>
              <w:spacing w:before="200" w:after="200" w:line="276" w:lineRule="auto"/>
              <w:contextualSpacing/>
              <w:rPr>
                <w:szCs w:val="24"/>
                <w:lang w:val="en-US" w:eastAsia="en-US"/>
              </w:rPr>
            </w:pPr>
            <w:r w:rsidRPr="00DB2D28">
              <w:rPr>
                <w:szCs w:val="24"/>
                <w:lang w:val="en-US" w:eastAsia="en-US"/>
              </w:rPr>
              <w:t>Increased scientific and tech excellence</w:t>
            </w:r>
          </w:p>
          <w:p w:rsidR="00DB2D28" w:rsidRPr="00DB2D28" w:rsidRDefault="00DB2D28" w:rsidP="00DB2D28">
            <w:pPr>
              <w:numPr>
                <w:ilvl w:val="0"/>
                <w:numId w:val="4"/>
              </w:numPr>
              <w:spacing w:before="200" w:after="200" w:line="276" w:lineRule="auto"/>
              <w:contextualSpacing/>
              <w:rPr>
                <w:szCs w:val="24"/>
                <w:lang w:val="en-US" w:eastAsia="en-US"/>
              </w:rPr>
            </w:pPr>
            <w:r w:rsidRPr="00DB2D28">
              <w:rPr>
                <w:szCs w:val="24"/>
                <w:lang w:val="en-US" w:eastAsia="en-US"/>
              </w:rPr>
              <w:t>More effective tech transfer and innovation of products/technologies</w:t>
            </w:r>
          </w:p>
          <w:p w:rsidR="00DB2D28" w:rsidRPr="00DB2D28" w:rsidRDefault="00DB2D28" w:rsidP="00DB2D28">
            <w:pPr>
              <w:numPr>
                <w:ilvl w:val="0"/>
                <w:numId w:val="4"/>
              </w:numPr>
              <w:spacing w:before="200" w:after="200" w:line="276" w:lineRule="auto"/>
              <w:contextualSpacing/>
              <w:rPr>
                <w:szCs w:val="24"/>
                <w:lang w:val="en-US" w:eastAsia="en-US"/>
              </w:rPr>
            </w:pPr>
            <w:r w:rsidRPr="00DB2D28">
              <w:rPr>
                <w:szCs w:val="24"/>
                <w:lang w:val="en-US" w:eastAsia="en-US"/>
              </w:rPr>
              <w:t>A significant improvement in critical mass</w:t>
            </w:r>
          </w:p>
          <w:p w:rsidR="00DB2D28" w:rsidRPr="00DB2D28" w:rsidRDefault="00DB2D28" w:rsidP="00DB2D28">
            <w:pPr>
              <w:numPr>
                <w:ilvl w:val="0"/>
                <w:numId w:val="4"/>
              </w:numPr>
              <w:spacing w:before="200" w:after="200" w:line="276" w:lineRule="auto"/>
              <w:contextualSpacing/>
              <w:rPr>
                <w:szCs w:val="24"/>
                <w:lang w:val="en-US" w:eastAsia="en-US"/>
              </w:rPr>
            </w:pPr>
            <w:r w:rsidRPr="00DB2D28">
              <w:rPr>
                <w:szCs w:val="24"/>
                <w:lang w:val="en-US" w:eastAsia="en-US"/>
              </w:rPr>
              <w:t>Improved external funding</w:t>
            </w:r>
          </w:p>
          <w:p w:rsidR="00DB2D28" w:rsidRPr="00DB2D28" w:rsidRDefault="00DB2D28" w:rsidP="00DB2D28">
            <w:pPr>
              <w:numPr>
                <w:ilvl w:val="0"/>
                <w:numId w:val="4"/>
              </w:numPr>
              <w:spacing w:before="200" w:after="200" w:line="276" w:lineRule="auto"/>
              <w:contextualSpacing/>
              <w:rPr>
                <w:szCs w:val="24"/>
                <w:lang w:val="en-US" w:eastAsia="en-US"/>
              </w:rPr>
            </w:pPr>
            <w:r w:rsidRPr="00DB2D28">
              <w:rPr>
                <w:szCs w:val="24"/>
                <w:lang w:val="en-US" w:eastAsia="en-US"/>
              </w:rPr>
              <w:lastRenderedPageBreak/>
              <w:t>Improved access to and sharing of data and results</w:t>
            </w:r>
          </w:p>
          <w:p w:rsidR="00DB2D28" w:rsidRPr="00DB2D28" w:rsidRDefault="00DB2D28" w:rsidP="00DB2D28">
            <w:pPr>
              <w:numPr>
                <w:ilvl w:val="0"/>
                <w:numId w:val="4"/>
              </w:numPr>
              <w:spacing w:before="200" w:after="200" w:line="276" w:lineRule="auto"/>
              <w:contextualSpacing/>
              <w:rPr>
                <w:szCs w:val="24"/>
                <w:lang w:val="en-US" w:eastAsia="en-US"/>
              </w:rPr>
            </w:pPr>
            <w:r w:rsidRPr="00DB2D28">
              <w:rPr>
                <w:szCs w:val="24"/>
                <w:lang w:val="en-US" w:eastAsia="en-US"/>
              </w:rPr>
              <w:t>Better visibility and communication to policy makers</w:t>
            </w:r>
          </w:p>
          <w:p w:rsidR="00DB2D28" w:rsidRPr="00DB2D28" w:rsidRDefault="00DB2D28" w:rsidP="00DB2D28">
            <w:pPr>
              <w:numPr>
                <w:ilvl w:val="0"/>
                <w:numId w:val="4"/>
              </w:numPr>
              <w:spacing w:before="200" w:after="200" w:line="276" w:lineRule="auto"/>
              <w:contextualSpacing/>
              <w:rPr>
                <w:szCs w:val="24"/>
                <w:lang w:val="en-US" w:eastAsia="en-US"/>
              </w:rPr>
            </w:pPr>
            <w:r w:rsidRPr="00DB2D28">
              <w:rPr>
                <w:szCs w:val="24"/>
                <w:lang w:val="en-US" w:eastAsia="en-US"/>
              </w:rPr>
              <w:t>Improved scientific output/productivity</w:t>
            </w:r>
          </w:p>
          <w:p w:rsidR="00DB2D28" w:rsidRPr="00DB2D28" w:rsidRDefault="00DB2D28" w:rsidP="00DB2D28">
            <w:pPr>
              <w:numPr>
                <w:ilvl w:val="0"/>
                <w:numId w:val="4"/>
              </w:numPr>
              <w:spacing w:before="200" w:after="200" w:line="276" w:lineRule="auto"/>
              <w:contextualSpacing/>
              <w:rPr>
                <w:szCs w:val="24"/>
                <w:lang w:val="en-US" w:eastAsia="en-US"/>
              </w:rPr>
            </w:pPr>
            <w:r w:rsidRPr="00DB2D28">
              <w:rPr>
                <w:szCs w:val="24"/>
                <w:lang w:val="en-US" w:eastAsia="en-US"/>
              </w:rPr>
              <w:t>Capacity to better address challenges and ensure uptake/relevance</w:t>
            </w:r>
          </w:p>
        </w:tc>
      </w:tr>
      <w:tr w:rsidR="00DB2D28" w:rsidRPr="00DB2D28" w:rsidTr="0086107E">
        <w:tc>
          <w:tcPr>
            <w:tcW w:w="1809" w:type="dxa"/>
          </w:tcPr>
          <w:p w:rsidR="00DB2D28" w:rsidRPr="00DB2D28" w:rsidRDefault="00DB2D28" w:rsidP="00DB2D28">
            <w:pPr>
              <w:rPr>
                <w:szCs w:val="24"/>
                <w:lang w:val="en-US" w:eastAsia="en-US"/>
              </w:rPr>
            </w:pPr>
          </w:p>
        </w:tc>
        <w:tc>
          <w:tcPr>
            <w:tcW w:w="2127" w:type="dxa"/>
          </w:tcPr>
          <w:p w:rsidR="00DB2D28" w:rsidRPr="00DB2D28" w:rsidRDefault="00DB2D28" w:rsidP="00DB2D28">
            <w:pPr>
              <w:rPr>
                <w:szCs w:val="24"/>
                <w:lang w:val="en-US" w:eastAsia="en-US"/>
              </w:rPr>
            </w:pPr>
            <w:r w:rsidRPr="00DB2D28">
              <w:rPr>
                <w:szCs w:val="24"/>
                <w:lang w:val="en-US" w:eastAsia="en-US"/>
              </w:rPr>
              <w:t>Networks of people</w:t>
            </w:r>
          </w:p>
        </w:tc>
        <w:tc>
          <w:tcPr>
            <w:tcW w:w="1984" w:type="dxa"/>
          </w:tcPr>
          <w:p w:rsidR="00DB2D28" w:rsidRPr="00DB2D28" w:rsidRDefault="00DB2D28" w:rsidP="00DB2D28">
            <w:pPr>
              <w:rPr>
                <w:szCs w:val="24"/>
                <w:lang w:val="en-US" w:eastAsia="en-US"/>
              </w:rPr>
            </w:pPr>
            <w:r w:rsidRPr="00DB2D28">
              <w:rPr>
                <w:szCs w:val="24"/>
                <w:lang w:val="en-US" w:eastAsia="en-US"/>
              </w:rPr>
              <w:t>Creation of networks of excellence as virtual networks to enhance structuring of the research landscape in Europe</w:t>
            </w:r>
          </w:p>
        </w:tc>
        <w:tc>
          <w:tcPr>
            <w:tcW w:w="3368" w:type="dxa"/>
          </w:tcPr>
          <w:p w:rsidR="00DB2D28" w:rsidRPr="00DB2D28" w:rsidRDefault="00DB2D28" w:rsidP="00DB2D28">
            <w:pPr>
              <w:numPr>
                <w:ilvl w:val="0"/>
                <w:numId w:val="5"/>
              </w:numPr>
              <w:spacing w:before="200" w:after="200" w:line="276" w:lineRule="auto"/>
              <w:contextualSpacing/>
              <w:rPr>
                <w:szCs w:val="24"/>
                <w:lang w:val="en-US" w:eastAsia="en-US"/>
              </w:rPr>
            </w:pPr>
            <w:r w:rsidRPr="00DB2D28">
              <w:rPr>
                <w:szCs w:val="24"/>
                <w:lang w:val="en-US" w:eastAsia="en-US"/>
              </w:rPr>
              <w:t>Greater intensity of collaboration in selected fields</w:t>
            </w:r>
          </w:p>
          <w:p w:rsidR="00DB2D28" w:rsidRPr="00DB2D28" w:rsidRDefault="00DB2D28" w:rsidP="00DB2D28">
            <w:pPr>
              <w:numPr>
                <w:ilvl w:val="0"/>
                <w:numId w:val="5"/>
              </w:numPr>
              <w:spacing w:before="200" w:after="200" w:line="276" w:lineRule="auto"/>
              <w:contextualSpacing/>
              <w:rPr>
                <w:szCs w:val="24"/>
                <w:lang w:val="en-US" w:eastAsia="en-US"/>
              </w:rPr>
            </w:pPr>
            <w:r w:rsidRPr="00DB2D28">
              <w:rPr>
                <w:szCs w:val="24"/>
                <w:lang w:val="en-US" w:eastAsia="en-US"/>
              </w:rPr>
              <w:t>Higher scientific output</w:t>
            </w:r>
          </w:p>
          <w:p w:rsidR="00DB2D28" w:rsidRPr="00DB2D28" w:rsidRDefault="00DB2D28" w:rsidP="00DB2D28">
            <w:pPr>
              <w:numPr>
                <w:ilvl w:val="0"/>
                <w:numId w:val="5"/>
              </w:numPr>
              <w:spacing w:before="200" w:after="200" w:line="276" w:lineRule="auto"/>
              <w:contextualSpacing/>
              <w:rPr>
                <w:szCs w:val="24"/>
                <w:lang w:val="en-US" w:eastAsia="en-US"/>
              </w:rPr>
            </w:pPr>
            <w:r w:rsidRPr="00DB2D28">
              <w:rPr>
                <w:szCs w:val="24"/>
                <w:lang w:val="en-US" w:eastAsia="en-US"/>
              </w:rPr>
              <w:t>Improved basis for continued funding</w:t>
            </w:r>
          </w:p>
          <w:p w:rsidR="00DB2D28" w:rsidRPr="00DB2D28" w:rsidRDefault="00DB2D28" w:rsidP="00DB2D28">
            <w:pPr>
              <w:numPr>
                <w:ilvl w:val="0"/>
                <w:numId w:val="5"/>
              </w:numPr>
              <w:spacing w:before="200" w:after="200" w:line="276" w:lineRule="auto"/>
              <w:contextualSpacing/>
              <w:rPr>
                <w:szCs w:val="24"/>
                <w:lang w:val="en-US" w:eastAsia="en-US"/>
              </w:rPr>
            </w:pPr>
            <w:r w:rsidRPr="00DB2D28">
              <w:rPr>
                <w:szCs w:val="24"/>
                <w:lang w:val="en-US" w:eastAsia="en-US"/>
              </w:rPr>
              <w:t>Better use of infrastructures</w:t>
            </w:r>
          </w:p>
        </w:tc>
      </w:tr>
      <w:tr w:rsidR="00DB2D28" w:rsidRPr="00DB2D28" w:rsidTr="0086107E">
        <w:tc>
          <w:tcPr>
            <w:tcW w:w="1809" w:type="dxa"/>
          </w:tcPr>
          <w:p w:rsidR="00DB2D28" w:rsidRPr="00DB2D28" w:rsidRDefault="00DB2D28" w:rsidP="00DB2D28">
            <w:pPr>
              <w:rPr>
                <w:szCs w:val="24"/>
                <w:lang w:val="en-US" w:eastAsia="en-US"/>
              </w:rPr>
            </w:pPr>
          </w:p>
        </w:tc>
        <w:tc>
          <w:tcPr>
            <w:tcW w:w="2127" w:type="dxa"/>
          </w:tcPr>
          <w:p w:rsidR="00DB2D28" w:rsidRPr="00DB2D28" w:rsidRDefault="00DB2D28" w:rsidP="00DB2D28">
            <w:pPr>
              <w:rPr>
                <w:szCs w:val="24"/>
                <w:lang w:val="en-US" w:eastAsia="en-US"/>
              </w:rPr>
            </w:pPr>
            <w:r w:rsidRPr="00DB2D28">
              <w:rPr>
                <w:szCs w:val="24"/>
                <w:lang w:val="en-US" w:eastAsia="en-US"/>
              </w:rPr>
              <w:t>Network of bilateral agreements</w:t>
            </w:r>
          </w:p>
        </w:tc>
        <w:tc>
          <w:tcPr>
            <w:tcW w:w="1984" w:type="dxa"/>
          </w:tcPr>
          <w:p w:rsidR="00DB2D28" w:rsidRPr="00DB2D28" w:rsidRDefault="00DB2D28" w:rsidP="00DB2D28">
            <w:pPr>
              <w:rPr>
                <w:szCs w:val="24"/>
                <w:lang w:val="en-US" w:eastAsia="en-US"/>
              </w:rPr>
            </w:pPr>
            <w:r w:rsidRPr="00DB2D28">
              <w:rPr>
                <w:szCs w:val="24"/>
                <w:lang w:val="en-US" w:eastAsia="en-US"/>
              </w:rPr>
              <w:t>Reduce the fragmentation stemming from bilateral agreements</w:t>
            </w:r>
          </w:p>
        </w:tc>
        <w:tc>
          <w:tcPr>
            <w:tcW w:w="3368" w:type="dxa"/>
          </w:tcPr>
          <w:p w:rsidR="00DB2D28" w:rsidRPr="00DB2D28" w:rsidRDefault="00DB2D28" w:rsidP="00DB2D28">
            <w:pPr>
              <w:numPr>
                <w:ilvl w:val="0"/>
                <w:numId w:val="6"/>
              </w:numPr>
              <w:spacing w:before="200" w:after="200" w:line="276" w:lineRule="auto"/>
              <w:contextualSpacing/>
              <w:rPr>
                <w:szCs w:val="24"/>
                <w:lang w:val="en-US" w:eastAsia="en-US"/>
              </w:rPr>
            </w:pPr>
            <w:r w:rsidRPr="00DB2D28">
              <w:rPr>
                <w:szCs w:val="24"/>
                <w:lang w:val="en-US" w:eastAsia="en-US"/>
              </w:rPr>
              <w:t>Number of agreements in formal networks</w:t>
            </w:r>
          </w:p>
          <w:p w:rsidR="00DB2D28" w:rsidRPr="00DB2D28" w:rsidRDefault="00DB2D28" w:rsidP="00DB2D28">
            <w:pPr>
              <w:numPr>
                <w:ilvl w:val="0"/>
                <w:numId w:val="6"/>
              </w:numPr>
              <w:spacing w:before="200" w:after="200" w:line="276" w:lineRule="auto"/>
              <w:contextualSpacing/>
              <w:rPr>
                <w:szCs w:val="24"/>
                <w:lang w:val="en-US" w:eastAsia="en-US"/>
              </w:rPr>
            </w:pPr>
            <w:r w:rsidRPr="00DB2D28">
              <w:rPr>
                <w:szCs w:val="24"/>
                <w:lang w:val="en-US" w:eastAsia="en-US"/>
              </w:rPr>
              <w:t xml:space="preserve">Achieved synergies in </w:t>
            </w:r>
            <w:bookmarkStart w:id="0" w:name="_GoBack"/>
            <w:bookmarkEnd w:id="0"/>
            <w:r w:rsidRPr="00DB2D28">
              <w:rPr>
                <w:szCs w:val="24"/>
                <w:lang w:val="en-US" w:eastAsia="en-US"/>
              </w:rPr>
              <w:t>selected fields</w:t>
            </w:r>
          </w:p>
        </w:tc>
      </w:tr>
      <w:tr w:rsidR="00DB2D28" w:rsidRPr="00DB2D28" w:rsidTr="0086107E">
        <w:tc>
          <w:tcPr>
            <w:tcW w:w="1809" w:type="dxa"/>
          </w:tcPr>
          <w:p w:rsidR="00DB2D28" w:rsidRPr="00DB2D28" w:rsidRDefault="00DB2D28" w:rsidP="00DB2D28">
            <w:pPr>
              <w:rPr>
                <w:szCs w:val="24"/>
                <w:lang w:val="en-US" w:eastAsia="en-US"/>
              </w:rPr>
            </w:pPr>
          </w:p>
        </w:tc>
        <w:tc>
          <w:tcPr>
            <w:tcW w:w="2127" w:type="dxa"/>
          </w:tcPr>
          <w:p w:rsidR="00DB2D28" w:rsidRPr="00DB2D28" w:rsidRDefault="00DB2D28" w:rsidP="00DB2D28">
            <w:pPr>
              <w:rPr>
                <w:szCs w:val="24"/>
                <w:lang w:val="en-US" w:eastAsia="en-US"/>
              </w:rPr>
            </w:pPr>
            <w:r w:rsidRPr="00DB2D28">
              <w:rPr>
                <w:szCs w:val="24"/>
                <w:lang w:val="en-US" w:eastAsia="en-US"/>
              </w:rPr>
              <w:t>Mutual opening of programs</w:t>
            </w:r>
          </w:p>
        </w:tc>
        <w:tc>
          <w:tcPr>
            <w:tcW w:w="1984" w:type="dxa"/>
          </w:tcPr>
          <w:p w:rsidR="00DB2D28" w:rsidRPr="00DB2D28" w:rsidRDefault="00DB2D28" w:rsidP="00DB2D28">
            <w:pPr>
              <w:rPr>
                <w:szCs w:val="24"/>
                <w:lang w:val="en-US" w:eastAsia="en-US"/>
              </w:rPr>
            </w:pPr>
            <w:r w:rsidRPr="00DB2D28">
              <w:rPr>
                <w:szCs w:val="24"/>
                <w:lang w:val="en-US" w:eastAsia="en-US"/>
              </w:rPr>
              <w:t>Reduce the fragmentation stemming from independent national programs</w:t>
            </w:r>
          </w:p>
        </w:tc>
        <w:tc>
          <w:tcPr>
            <w:tcW w:w="3368" w:type="dxa"/>
          </w:tcPr>
          <w:p w:rsidR="00DB2D28" w:rsidRPr="00DB2D28" w:rsidRDefault="00DB2D28" w:rsidP="00DB2D28">
            <w:pPr>
              <w:numPr>
                <w:ilvl w:val="0"/>
                <w:numId w:val="7"/>
              </w:numPr>
              <w:spacing w:before="200" w:after="200" w:line="276" w:lineRule="auto"/>
              <w:contextualSpacing/>
              <w:rPr>
                <w:szCs w:val="24"/>
                <w:lang w:val="en-US" w:eastAsia="en-US"/>
              </w:rPr>
            </w:pPr>
            <w:r w:rsidRPr="00DB2D28">
              <w:rPr>
                <w:szCs w:val="24"/>
                <w:lang w:val="en-US" w:eastAsia="en-US"/>
              </w:rPr>
              <w:t>Number of openings</w:t>
            </w:r>
          </w:p>
          <w:p w:rsidR="00DB2D28" w:rsidRPr="00DB2D28" w:rsidRDefault="00DB2D28" w:rsidP="00DB2D28">
            <w:pPr>
              <w:numPr>
                <w:ilvl w:val="0"/>
                <w:numId w:val="7"/>
              </w:numPr>
              <w:spacing w:before="200" w:after="200" w:line="276" w:lineRule="auto"/>
              <w:contextualSpacing/>
              <w:rPr>
                <w:szCs w:val="24"/>
                <w:lang w:val="en-US" w:eastAsia="en-US"/>
              </w:rPr>
            </w:pPr>
            <w:r w:rsidRPr="00DB2D28">
              <w:rPr>
                <w:szCs w:val="24"/>
                <w:lang w:val="en-US" w:eastAsia="en-US"/>
              </w:rPr>
              <w:t>Number of countries in participation</w:t>
            </w:r>
          </w:p>
          <w:p w:rsidR="00DB2D28" w:rsidRPr="00DB2D28" w:rsidRDefault="00DB2D28" w:rsidP="00DB2D28">
            <w:pPr>
              <w:numPr>
                <w:ilvl w:val="0"/>
                <w:numId w:val="7"/>
              </w:numPr>
              <w:spacing w:before="200" w:after="200" w:line="276" w:lineRule="auto"/>
              <w:contextualSpacing/>
              <w:rPr>
                <w:szCs w:val="24"/>
                <w:lang w:val="en-US" w:eastAsia="en-US"/>
              </w:rPr>
            </w:pPr>
            <w:r w:rsidRPr="00DB2D28">
              <w:rPr>
                <w:szCs w:val="24"/>
                <w:lang w:val="en-US" w:eastAsia="en-US"/>
              </w:rPr>
              <w:t>Size of budgets in synergy</w:t>
            </w:r>
          </w:p>
          <w:p w:rsidR="00DB2D28" w:rsidRPr="00DB2D28" w:rsidRDefault="00DB2D28" w:rsidP="00DB2D28">
            <w:pPr>
              <w:ind w:left="360"/>
              <w:contextualSpacing/>
              <w:rPr>
                <w:szCs w:val="24"/>
                <w:lang w:val="en-US" w:eastAsia="en-US"/>
              </w:rPr>
            </w:pPr>
          </w:p>
        </w:tc>
      </w:tr>
      <w:tr w:rsidR="00DB2D28" w:rsidRPr="00DB2D28" w:rsidTr="0086107E">
        <w:tc>
          <w:tcPr>
            <w:tcW w:w="1809" w:type="dxa"/>
          </w:tcPr>
          <w:p w:rsidR="00DB2D28" w:rsidRPr="00DB2D28" w:rsidRDefault="00DB2D28" w:rsidP="00DB2D28">
            <w:pPr>
              <w:rPr>
                <w:szCs w:val="24"/>
                <w:lang w:val="en-US" w:eastAsia="en-US"/>
              </w:rPr>
            </w:pPr>
          </w:p>
        </w:tc>
        <w:tc>
          <w:tcPr>
            <w:tcW w:w="2127" w:type="dxa"/>
          </w:tcPr>
          <w:p w:rsidR="00DB2D28" w:rsidRPr="00DB2D28" w:rsidRDefault="00DB2D28" w:rsidP="00DB2D28">
            <w:pPr>
              <w:rPr>
                <w:szCs w:val="24"/>
                <w:lang w:val="en-US" w:eastAsia="en-US"/>
              </w:rPr>
            </w:pPr>
            <w:r w:rsidRPr="00DB2D28">
              <w:rPr>
                <w:szCs w:val="24"/>
                <w:lang w:val="en-US" w:eastAsia="en-US"/>
              </w:rPr>
              <w:t>Interacting with ERA-Nets and other activities</w:t>
            </w:r>
          </w:p>
        </w:tc>
        <w:tc>
          <w:tcPr>
            <w:tcW w:w="1984" w:type="dxa"/>
          </w:tcPr>
          <w:p w:rsidR="00DB2D28" w:rsidRPr="00DB2D28" w:rsidRDefault="00DB2D28" w:rsidP="00DB2D28">
            <w:pPr>
              <w:rPr>
                <w:szCs w:val="24"/>
                <w:lang w:val="en-US" w:eastAsia="en-US"/>
              </w:rPr>
            </w:pPr>
            <w:r w:rsidRPr="00DB2D28">
              <w:rPr>
                <w:szCs w:val="24"/>
                <w:lang w:val="en-US" w:eastAsia="en-US"/>
              </w:rPr>
              <w:t>Creation of synergies in the ERA landscape</w:t>
            </w:r>
          </w:p>
        </w:tc>
        <w:tc>
          <w:tcPr>
            <w:tcW w:w="3368" w:type="dxa"/>
          </w:tcPr>
          <w:p w:rsidR="00DB2D28" w:rsidRPr="00DB2D28" w:rsidRDefault="00DB2D28" w:rsidP="00DB2D28">
            <w:pPr>
              <w:numPr>
                <w:ilvl w:val="0"/>
                <w:numId w:val="8"/>
              </w:numPr>
              <w:spacing w:before="200" w:after="200" w:line="276" w:lineRule="auto"/>
              <w:contextualSpacing/>
              <w:rPr>
                <w:szCs w:val="24"/>
                <w:lang w:val="en-US" w:eastAsia="en-US"/>
              </w:rPr>
            </w:pPr>
            <w:r w:rsidRPr="00DB2D28">
              <w:rPr>
                <w:szCs w:val="24"/>
                <w:lang w:val="en-US" w:eastAsia="en-US"/>
              </w:rPr>
              <w:t>Synergy in funding with ERA-Nets</w:t>
            </w:r>
          </w:p>
          <w:p w:rsidR="00DB2D28" w:rsidRPr="00DB2D28" w:rsidRDefault="00DB2D28" w:rsidP="00DB2D28">
            <w:pPr>
              <w:numPr>
                <w:ilvl w:val="0"/>
                <w:numId w:val="8"/>
              </w:numPr>
              <w:spacing w:before="200" w:after="200" w:line="276" w:lineRule="auto"/>
              <w:contextualSpacing/>
              <w:rPr>
                <w:szCs w:val="24"/>
                <w:lang w:val="en-US" w:eastAsia="en-US"/>
              </w:rPr>
            </w:pPr>
            <w:r w:rsidRPr="00DB2D28">
              <w:rPr>
                <w:szCs w:val="24"/>
                <w:lang w:val="en-US" w:eastAsia="en-US"/>
              </w:rPr>
              <w:t xml:space="preserve">Alignment with ERA initiatives (ESFRI, SFIC, HGRM, </w:t>
            </w:r>
            <w:proofErr w:type="spellStart"/>
            <w:r w:rsidRPr="00DB2D28">
              <w:rPr>
                <w:szCs w:val="24"/>
                <w:lang w:val="en-US" w:eastAsia="en-US"/>
              </w:rPr>
              <w:t>etc</w:t>
            </w:r>
            <w:proofErr w:type="spellEnd"/>
            <w:r w:rsidRPr="00DB2D28">
              <w:rPr>
                <w:szCs w:val="24"/>
                <w:lang w:val="en-US" w:eastAsia="en-US"/>
              </w:rPr>
              <w:t>)</w:t>
            </w:r>
          </w:p>
          <w:p w:rsidR="00DB2D28" w:rsidRPr="00DB2D28" w:rsidRDefault="00DB2D28" w:rsidP="00DB2D28">
            <w:pPr>
              <w:numPr>
                <w:ilvl w:val="0"/>
                <w:numId w:val="8"/>
              </w:numPr>
              <w:spacing w:before="200" w:after="200" w:line="276" w:lineRule="auto"/>
              <w:contextualSpacing/>
              <w:rPr>
                <w:szCs w:val="24"/>
                <w:lang w:val="en-US" w:eastAsia="en-US"/>
              </w:rPr>
            </w:pPr>
            <w:r w:rsidRPr="00DB2D28">
              <w:rPr>
                <w:szCs w:val="24"/>
                <w:lang w:val="en-US" w:eastAsia="en-US"/>
              </w:rPr>
              <w:t>Synergies achieved with KICs, JTIs and ETPs</w:t>
            </w:r>
          </w:p>
        </w:tc>
      </w:tr>
      <w:tr w:rsidR="00DB2D28" w:rsidRPr="00DB2D28" w:rsidTr="0086107E">
        <w:tc>
          <w:tcPr>
            <w:tcW w:w="1809" w:type="dxa"/>
          </w:tcPr>
          <w:p w:rsidR="00DB2D28" w:rsidRPr="00DB2D28" w:rsidRDefault="00DB2D28" w:rsidP="00DB2D28">
            <w:pPr>
              <w:rPr>
                <w:szCs w:val="24"/>
                <w:lang w:val="en-US" w:eastAsia="en-US"/>
              </w:rPr>
            </w:pPr>
            <w:r w:rsidRPr="00DB2D28">
              <w:rPr>
                <w:szCs w:val="24"/>
                <w:lang w:val="en-US" w:eastAsia="en-US"/>
              </w:rPr>
              <w:t>Capacity building</w:t>
            </w:r>
          </w:p>
        </w:tc>
        <w:tc>
          <w:tcPr>
            <w:tcW w:w="2127" w:type="dxa"/>
          </w:tcPr>
          <w:p w:rsidR="00DB2D28" w:rsidRPr="00DB2D28" w:rsidRDefault="00DB2D28" w:rsidP="00DB2D28">
            <w:pPr>
              <w:rPr>
                <w:szCs w:val="24"/>
                <w:lang w:val="en-US" w:eastAsia="en-US"/>
              </w:rPr>
            </w:pPr>
            <w:r w:rsidRPr="00DB2D28">
              <w:rPr>
                <w:szCs w:val="24"/>
                <w:lang w:val="en-US" w:eastAsia="en-US"/>
              </w:rPr>
              <w:t>Training</w:t>
            </w:r>
          </w:p>
        </w:tc>
        <w:tc>
          <w:tcPr>
            <w:tcW w:w="1984" w:type="dxa"/>
          </w:tcPr>
          <w:p w:rsidR="00DB2D28" w:rsidRPr="00DB2D28" w:rsidRDefault="00DB2D28" w:rsidP="00DB2D28">
            <w:pPr>
              <w:rPr>
                <w:szCs w:val="24"/>
                <w:lang w:val="en-US" w:eastAsia="en-US"/>
              </w:rPr>
            </w:pPr>
            <w:r w:rsidRPr="00DB2D28">
              <w:rPr>
                <w:szCs w:val="24"/>
                <w:lang w:val="en-US" w:eastAsia="en-US"/>
              </w:rPr>
              <w:t>Structured actions to enhance human resources in marine and maritime research and innovation</w:t>
            </w:r>
          </w:p>
        </w:tc>
        <w:tc>
          <w:tcPr>
            <w:tcW w:w="3368" w:type="dxa"/>
          </w:tcPr>
          <w:p w:rsidR="00DB2D28" w:rsidRPr="00DB2D28" w:rsidRDefault="00DB2D28" w:rsidP="00DB2D28">
            <w:pPr>
              <w:numPr>
                <w:ilvl w:val="0"/>
                <w:numId w:val="9"/>
              </w:numPr>
              <w:spacing w:before="200" w:after="200" w:line="276" w:lineRule="auto"/>
              <w:contextualSpacing/>
              <w:rPr>
                <w:szCs w:val="24"/>
                <w:lang w:val="en-US" w:eastAsia="en-US"/>
              </w:rPr>
            </w:pPr>
            <w:r w:rsidRPr="00DB2D28">
              <w:rPr>
                <w:szCs w:val="24"/>
                <w:lang w:val="en-US" w:eastAsia="en-US"/>
              </w:rPr>
              <w:t>Organized training for young scientists</w:t>
            </w:r>
          </w:p>
          <w:p w:rsidR="00DB2D28" w:rsidRPr="00DB2D28" w:rsidRDefault="00DB2D28" w:rsidP="00DB2D28">
            <w:pPr>
              <w:numPr>
                <w:ilvl w:val="0"/>
                <w:numId w:val="9"/>
              </w:numPr>
              <w:spacing w:before="200" w:after="200" w:line="276" w:lineRule="auto"/>
              <w:contextualSpacing/>
              <w:rPr>
                <w:szCs w:val="24"/>
                <w:lang w:val="en-US" w:eastAsia="en-US"/>
              </w:rPr>
            </w:pPr>
            <w:r w:rsidRPr="00DB2D28">
              <w:rPr>
                <w:szCs w:val="24"/>
                <w:lang w:val="en-US" w:eastAsia="en-US"/>
              </w:rPr>
              <w:t>Organized training in key fields</w:t>
            </w:r>
          </w:p>
          <w:p w:rsidR="00DB2D28" w:rsidRPr="00DB2D28" w:rsidRDefault="00DB2D28" w:rsidP="00DB2D28">
            <w:pPr>
              <w:numPr>
                <w:ilvl w:val="0"/>
                <w:numId w:val="9"/>
              </w:numPr>
              <w:spacing w:before="200" w:after="200" w:line="276" w:lineRule="auto"/>
              <w:contextualSpacing/>
              <w:rPr>
                <w:szCs w:val="24"/>
                <w:lang w:val="en-US" w:eastAsia="en-US"/>
              </w:rPr>
            </w:pPr>
            <w:r w:rsidRPr="00DB2D28">
              <w:rPr>
                <w:szCs w:val="24"/>
                <w:lang w:val="en-US" w:eastAsia="en-US"/>
              </w:rPr>
              <w:t>Training in research management</w:t>
            </w:r>
          </w:p>
          <w:p w:rsidR="00DB2D28" w:rsidRPr="00DB2D28" w:rsidRDefault="00DB2D28" w:rsidP="00DB2D28">
            <w:pPr>
              <w:numPr>
                <w:ilvl w:val="0"/>
                <w:numId w:val="9"/>
              </w:numPr>
              <w:spacing w:before="200" w:after="200" w:line="276" w:lineRule="auto"/>
              <w:contextualSpacing/>
              <w:rPr>
                <w:szCs w:val="24"/>
                <w:lang w:val="en-US" w:eastAsia="en-US"/>
              </w:rPr>
            </w:pPr>
            <w:r w:rsidRPr="00DB2D28">
              <w:rPr>
                <w:szCs w:val="24"/>
                <w:lang w:val="en-US" w:eastAsia="en-US"/>
              </w:rPr>
              <w:t>Dedicated Ph.D. programs</w:t>
            </w:r>
          </w:p>
          <w:p w:rsidR="00DB2D28" w:rsidRPr="00DB2D28" w:rsidRDefault="00DB2D28" w:rsidP="00DB2D28">
            <w:pPr>
              <w:numPr>
                <w:ilvl w:val="0"/>
                <w:numId w:val="9"/>
              </w:numPr>
              <w:spacing w:before="200" w:after="200" w:line="276" w:lineRule="auto"/>
              <w:contextualSpacing/>
              <w:rPr>
                <w:szCs w:val="24"/>
                <w:lang w:val="en-US" w:eastAsia="en-US"/>
              </w:rPr>
            </w:pPr>
            <w:r w:rsidRPr="00DB2D28">
              <w:rPr>
                <w:szCs w:val="24"/>
                <w:lang w:val="en-US" w:eastAsia="en-US"/>
              </w:rPr>
              <w:t>Cafeteria system for short term courses</w:t>
            </w:r>
          </w:p>
          <w:p w:rsidR="00DB2D28" w:rsidRPr="00DB2D28" w:rsidRDefault="00DB2D28" w:rsidP="00DB2D28">
            <w:pPr>
              <w:numPr>
                <w:ilvl w:val="0"/>
                <w:numId w:val="9"/>
              </w:numPr>
              <w:spacing w:before="200" w:after="200" w:line="276" w:lineRule="auto"/>
              <w:contextualSpacing/>
              <w:rPr>
                <w:szCs w:val="24"/>
                <w:lang w:val="en-US" w:eastAsia="en-US"/>
              </w:rPr>
            </w:pPr>
            <w:r w:rsidRPr="00DB2D28">
              <w:rPr>
                <w:szCs w:val="24"/>
                <w:lang w:val="en-US" w:eastAsia="en-US"/>
              </w:rPr>
              <w:lastRenderedPageBreak/>
              <w:t xml:space="preserve">Industrial </w:t>
            </w:r>
            <w:proofErr w:type="spellStart"/>
            <w:r w:rsidRPr="00DB2D28">
              <w:rPr>
                <w:szCs w:val="24"/>
                <w:lang w:val="en-US" w:eastAsia="en-US"/>
              </w:rPr>
              <w:t>Ph.D.s</w:t>
            </w:r>
            <w:proofErr w:type="spellEnd"/>
            <w:r w:rsidRPr="00DB2D28">
              <w:rPr>
                <w:szCs w:val="24"/>
                <w:lang w:val="en-US" w:eastAsia="en-US"/>
              </w:rPr>
              <w:t xml:space="preserve"> </w:t>
            </w:r>
          </w:p>
        </w:tc>
      </w:tr>
      <w:tr w:rsidR="00DB2D28" w:rsidRPr="00DB2D28" w:rsidTr="0086107E">
        <w:tc>
          <w:tcPr>
            <w:tcW w:w="1809" w:type="dxa"/>
          </w:tcPr>
          <w:p w:rsidR="00DB2D28" w:rsidRPr="00DB2D28" w:rsidRDefault="00DB2D28" w:rsidP="00DB2D28">
            <w:pPr>
              <w:rPr>
                <w:szCs w:val="24"/>
                <w:lang w:val="en-US" w:eastAsia="en-US"/>
              </w:rPr>
            </w:pPr>
          </w:p>
        </w:tc>
        <w:tc>
          <w:tcPr>
            <w:tcW w:w="2127" w:type="dxa"/>
          </w:tcPr>
          <w:p w:rsidR="00DB2D28" w:rsidRPr="00DB2D28" w:rsidRDefault="00DB2D28" w:rsidP="00DB2D28">
            <w:pPr>
              <w:rPr>
                <w:szCs w:val="24"/>
                <w:lang w:val="en-US" w:eastAsia="en-US"/>
              </w:rPr>
            </w:pPr>
            <w:r w:rsidRPr="00DB2D28">
              <w:rPr>
                <w:szCs w:val="24"/>
                <w:lang w:val="en-US" w:eastAsia="en-US"/>
              </w:rPr>
              <w:t>Mobility</w:t>
            </w:r>
          </w:p>
        </w:tc>
        <w:tc>
          <w:tcPr>
            <w:tcW w:w="1984" w:type="dxa"/>
          </w:tcPr>
          <w:p w:rsidR="00DB2D28" w:rsidRPr="00DB2D28" w:rsidRDefault="00DB2D28" w:rsidP="00DB2D28">
            <w:pPr>
              <w:rPr>
                <w:szCs w:val="24"/>
                <w:lang w:val="en-US" w:eastAsia="en-US"/>
              </w:rPr>
            </w:pPr>
            <w:r w:rsidRPr="00DB2D28">
              <w:rPr>
                <w:szCs w:val="24"/>
                <w:lang w:val="en-US" w:eastAsia="en-US"/>
              </w:rPr>
              <w:t>Enhanced exchange of human resources in marine and maritime research and innovation</w:t>
            </w:r>
          </w:p>
        </w:tc>
        <w:tc>
          <w:tcPr>
            <w:tcW w:w="3368" w:type="dxa"/>
          </w:tcPr>
          <w:p w:rsidR="00DB2D28" w:rsidRPr="00DB2D28" w:rsidRDefault="00DB2D28" w:rsidP="00DB2D28">
            <w:pPr>
              <w:numPr>
                <w:ilvl w:val="0"/>
                <w:numId w:val="10"/>
              </w:numPr>
              <w:spacing w:before="200" w:after="200" w:line="276" w:lineRule="auto"/>
              <w:contextualSpacing/>
              <w:rPr>
                <w:szCs w:val="24"/>
                <w:lang w:val="en-US" w:eastAsia="en-US"/>
              </w:rPr>
            </w:pPr>
            <w:r w:rsidRPr="00DB2D28">
              <w:rPr>
                <w:szCs w:val="24"/>
                <w:lang w:val="en-US" w:eastAsia="en-US"/>
              </w:rPr>
              <w:t>Increased intra-Europe mobility rate in the domain</w:t>
            </w:r>
          </w:p>
          <w:p w:rsidR="00DB2D28" w:rsidRPr="00DB2D28" w:rsidRDefault="00DB2D28" w:rsidP="00DB2D28">
            <w:pPr>
              <w:numPr>
                <w:ilvl w:val="0"/>
                <w:numId w:val="10"/>
              </w:numPr>
              <w:spacing w:before="200" w:after="200" w:line="276" w:lineRule="auto"/>
              <w:contextualSpacing/>
              <w:rPr>
                <w:szCs w:val="24"/>
                <w:lang w:val="en-US" w:eastAsia="en-US"/>
              </w:rPr>
            </w:pPr>
            <w:r w:rsidRPr="00DB2D28">
              <w:rPr>
                <w:szCs w:val="24"/>
                <w:lang w:val="en-US" w:eastAsia="en-US"/>
              </w:rPr>
              <w:t>Greater participation of young researchers novel to international cooperation</w:t>
            </w:r>
          </w:p>
          <w:p w:rsidR="00DB2D28" w:rsidRPr="00DB2D28" w:rsidRDefault="00DB2D28" w:rsidP="00DB2D28">
            <w:pPr>
              <w:numPr>
                <w:ilvl w:val="0"/>
                <w:numId w:val="10"/>
              </w:numPr>
              <w:spacing w:before="200" w:after="200" w:line="276" w:lineRule="auto"/>
              <w:contextualSpacing/>
              <w:rPr>
                <w:szCs w:val="24"/>
                <w:lang w:val="en-US" w:eastAsia="en-US"/>
              </w:rPr>
            </w:pPr>
            <w:r w:rsidRPr="00DB2D28">
              <w:rPr>
                <w:szCs w:val="24"/>
                <w:lang w:val="en-US" w:eastAsia="en-US"/>
              </w:rPr>
              <w:t>Better career paths</w:t>
            </w:r>
          </w:p>
          <w:p w:rsidR="00DB2D28" w:rsidRPr="00DB2D28" w:rsidRDefault="00DB2D28" w:rsidP="00DB2D28">
            <w:pPr>
              <w:numPr>
                <w:ilvl w:val="0"/>
                <w:numId w:val="10"/>
              </w:numPr>
              <w:spacing w:before="200" w:after="200" w:line="276" w:lineRule="auto"/>
              <w:contextualSpacing/>
              <w:rPr>
                <w:szCs w:val="24"/>
                <w:lang w:val="en-US" w:eastAsia="en-US"/>
              </w:rPr>
            </w:pPr>
            <w:r w:rsidRPr="00DB2D28">
              <w:rPr>
                <w:szCs w:val="24"/>
                <w:lang w:val="en-US" w:eastAsia="en-US"/>
              </w:rPr>
              <w:t>Establishment of research management careers for female candidates</w:t>
            </w:r>
          </w:p>
        </w:tc>
      </w:tr>
      <w:tr w:rsidR="00DB2D28" w:rsidRPr="00DB2D28" w:rsidTr="0086107E">
        <w:tc>
          <w:tcPr>
            <w:tcW w:w="1809" w:type="dxa"/>
          </w:tcPr>
          <w:p w:rsidR="00DB2D28" w:rsidRPr="00DB2D28" w:rsidRDefault="00DB2D28" w:rsidP="00DB2D28">
            <w:pPr>
              <w:rPr>
                <w:szCs w:val="24"/>
                <w:lang w:val="en-US" w:eastAsia="en-US"/>
              </w:rPr>
            </w:pPr>
          </w:p>
        </w:tc>
        <w:tc>
          <w:tcPr>
            <w:tcW w:w="2127" w:type="dxa"/>
          </w:tcPr>
          <w:p w:rsidR="00DB2D28" w:rsidRPr="00DB2D28" w:rsidRDefault="00DB2D28" w:rsidP="00DB2D28">
            <w:pPr>
              <w:rPr>
                <w:szCs w:val="24"/>
                <w:lang w:val="en-US" w:eastAsia="en-US"/>
              </w:rPr>
            </w:pPr>
            <w:r w:rsidRPr="00DB2D28">
              <w:rPr>
                <w:szCs w:val="24"/>
                <w:lang w:val="en-US" w:eastAsia="en-US"/>
              </w:rPr>
              <w:t>Accessing/sharing marine infrastructures</w:t>
            </w:r>
          </w:p>
        </w:tc>
        <w:tc>
          <w:tcPr>
            <w:tcW w:w="1984" w:type="dxa"/>
          </w:tcPr>
          <w:p w:rsidR="00DB2D28" w:rsidRPr="00DB2D28" w:rsidRDefault="00DB2D28" w:rsidP="00DB2D28">
            <w:pPr>
              <w:rPr>
                <w:szCs w:val="24"/>
                <w:lang w:val="en-US" w:eastAsia="en-US"/>
              </w:rPr>
            </w:pPr>
            <w:r w:rsidRPr="00DB2D28">
              <w:rPr>
                <w:szCs w:val="24"/>
                <w:lang w:val="en-US" w:eastAsia="en-US"/>
              </w:rPr>
              <w:t>Better alignment and exploitation of infrastructural resources</w:t>
            </w:r>
          </w:p>
        </w:tc>
        <w:tc>
          <w:tcPr>
            <w:tcW w:w="3368" w:type="dxa"/>
          </w:tcPr>
          <w:p w:rsidR="00DB2D28" w:rsidRPr="00DB2D28" w:rsidRDefault="00DB2D28" w:rsidP="00DB2D28">
            <w:pPr>
              <w:numPr>
                <w:ilvl w:val="0"/>
                <w:numId w:val="11"/>
              </w:numPr>
              <w:spacing w:before="200" w:after="200" w:line="276" w:lineRule="auto"/>
              <w:contextualSpacing/>
              <w:rPr>
                <w:szCs w:val="24"/>
                <w:lang w:val="en-US" w:eastAsia="en-US"/>
              </w:rPr>
            </w:pPr>
            <w:r w:rsidRPr="00DB2D28">
              <w:rPr>
                <w:szCs w:val="24"/>
                <w:lang w:val="en-US" w:eastAsia="en-US"/>
              </w:rPr>
              <w:t>Intergovernmental agreements to share selected infrastructures</w:t>
            </w:r>
          </w:p>
          <w:p w:rsidR="00DB2D28" w:rsidRPr="00DB2D28" w:rsidRDefault="00DB2D28" w:rsidP="00DB2D28">
            <w:pPr>
              <w:numPr>
                <w:ilvl w:val="0"/>
                <w:numId w:val="11"/>
              </w:numPr>
              <w:spacing w:before="200" w:after="200" w:line="276" w:lineRule="auto"/>
              <w:contextualSpacing/>
              <w:rPr>
                <w:szCs w:val="24"/>
                <w:lang w:val="en-US" w:eastAsia="en-US"/>
              </w:rPr>
            </w:pPr>
            <w:r w:rsidRPr="00DB2D28">
              <w:rPr>
                <w:szCs w:val="24"/>
                <w:lang w:val="en-US" w:eastAsia="en-US"/>
              </w:rPr>
              <w:t>Intergovernmental agreements to a division of labor/responsibilities over key infrastructures</w:t>
            </w:r>
          </w:p>
          <w:p w:rsidR="00DB2D28" w:rsidRPr="00DB2D28" w:rsidRDefault="00DB2D28" w:rsidP="00DB2D28">
            <w:pPr>
              <w:numPr>
                <w:ilvl w:val="0"/>
                <w:numId w:val="11"/>
              </w:numPr>
              <w:spacing w:before="200" w:after="200" w:line="276" w:lineRule="auto"/>
              <w:contextualSpacing/>
              <w:rPr>
                <w:szCs w:val="24"/>
                <w:lang w:val="en-US" w:eastAsia="en-US"/>
              </w:rPr>
            </w:pPr>
            <w:r w:rsidRPr="00DB2D28">
              <w:rPr>
                <w:szCs w:val="24"/>
                <w:lang w:val="en-US" w:eastAsia="en-US"/>
              </w:rPr>
              <w:t>Significant cost reduction impacts</w:t>
            </w:r>
          </w:p>
          <w:p w:rsidR="00DB2D28" w:rsidRPr="00DB2D28" w:rsidRDefault="00DB2D28" w:rsidP="00DB2D28">
            <w:pPr>
              <w:numPr>
                <w:ilvl w:val="0"/>
                <w:numId w:val="11"/>
              </w:numPr>
              <w:spacing w:before="200" w:after="200" w:line="276" w:lineRule="auto"/>
              <w:contextualSpacing/>
              <w:rPr>
                <w:szCs w:val="24"/>
                <w:lang w:val="en-US" w:eastAsia="en-US"/>
              </w:rPr>
            </w:pPr>
            <w:r w:rsidRPr="00DB2D28">
              <w:rPr>
                <w:szCs w:val="24"/>
                <w:lang w:val="en-US" w:eastAsia="en-US"/>
              </w:rPr>
              <w:t>Significant increase in activity levels of shared infrastructures</w:t>
            </w:r>
          </w:p>
        </w:tc>
      </w:tr>
      <w:tr w:rsidR="00DB2D28" w:rsidRPr="00DB2D28" w:rsidTr="0086107E">
        <w:tc>
          <w:tcPr>
            <w:tcW w:w="1809" w:type="dxa"/>
          </w:tcPr>
          <w:p w:rsidR="00DB2D28" w:rsidRPr="00DB2D28" w:rsidRDefault="00DB2D28" w:rsidP="00DB2D28">
            <w:pPr>
              <w:rPr>
                <w:szCs w:val="24"/>
                <w:lang w:val="en-US" w:eastAsia="en-US"/>
              </w:rPr>
            </w:pPr>
          </w:p>
        </w:tc>
        <w:tc>
          <w:tcPr>
            <w:tcW w:w="2127" w:type="dxa"/>
          </w:tcPr>
          <w:p w:rsidR="00DB2D28" w:rsidRPr="00DB2D28" w:rsidRDefault="00DB2D28" w:rsidP="00DB2D28">
            <w:pPr>
              <w:rPr>
                <w:szCs w:val="24"/>
                <w:lang w:val="en-US" w:eastAsia="en-US"/>
              </w:rPr>
            </w:pPr>
            <w:r w:rsidRPr="00DB2D28">
              <w:rPr>
                <w:szCs w:val="24"/>
                <w:lang w:val="en-US" w:eastAsia="en-US"/>
              </w:rPr>
              <w:t>Procedures/agreements for TNA and sharing of infrastructures</w:t>
            </w:r>
          </w:p>
        </w:tc>
        <w:tc>
          <w:tcPr>
            <w:tcW w:w="1984" w:type="dxa"/>
          </w:tcPr>
          <w:p w:rsidR="00DB2D28" w:rsidRPr="00DB2D28" w:rsidRDefault="00DB2D28" w:rsidP="00DB2D28">
            <w:pPr>
              <w:rPr>
                <w:szCs w:val="24"/>
                <w:lang w:val="en-US" w:eastAsia="en-US"/>
              </w:rPr>
            </w:pPr>
            <w:r w:rsidRPr="00DB2D28">
              <w:rPr>
                <w:szCs w:val="24"/>
                <w:lang w:val="en-US" w:eastAsia="en-US"/>
              </w:rPr>
              <w:t>Transparent and effective procedures agreed among partners in JPI Oceans</w:t>
            </w:r>
          </w:p>
        </w:tc>
        <w:tc>
          <w:tcPr>
            <w:tcW w:w="3368" w:type="dxa"/>
          </w:tcPr>
          <w:p w:rsidR="00DB2D28" w:rsidRPr="00DB2D28" w:rsidRDefault="00DB2D28" w:rsidP="00DB2D28">
            <w:pPr>
              <w:numPr>
                <w:ilvl w:val="0"/>
                <w:numId w:val="12"/>
              </w:numPr>
              <w:spacing w:before="200" w:after="200" w:line="276" w:lineRule="auto"/>
              <w:contextualSpacing/>
              <w:rPr>
                <w:szCs w:val="24"/>
                <w:lang w:val="en-US" w:eastAsia="en-US"/>
              </w:rPr>
            </w:pPr>
            <w:r w:rsidRPr="00DB2D28">
              <w:rPr>
                <w:szCs w:val="24"/>
                <w:lang w:val="en-US" w:eastAsia="en-US"/>
              </w:rPr>
              <w:t>Establishment of a legal procedural framework for transnational access</w:t>
            </w:r>
          </w:p>
          <w:p w:rsidR="00DB2D28" w:rsidRPr="00DB2D28" w:rsidRDefault="00DB2D28" w:rsidP="00DB2D28">
            <w:pPr>
              <w:numPr>
                <w:ilvl w:val="0"/>
                <w:numId w:val="12"/>
              </w:numPr>
              <w:spacing w:before="200" w:after="200" w:line="276" w:lineRule="auto"/>
              <w:contextualSpacing/>
              <w:rPr>
                <w:szCs w:val="24"/>
                <w:lang w:val="en-US" w:eastAsia="en-US"/>
              </w:rPr>
            </w:pPr>
            <w:r w:rsidRPr="00DB2D28">
              <w:rPr>
                <w:szCs w:val="24"/>
                <w:lang w:val="en-US" w:eastAsia="en-US"/>
              </w:rPr>
              <w:t>Regulation of in-kind contributions</w:t>
            </w:r>
          </w:p>
          <w:p w:rsidR="00DB2D28" w:rsidRPr="00DB2D28" w:rsidRDefault="00DB2D28" w:rsidP="00DB2D28">
            <w:pPr>
              <w:numPr>
                <w:ilvl w:val="0"/>
                <w:numId w:val="12"/>
              </w:numPr>
              <w:spacing w:before="200" w:after="200" w:line="276" w:lineRule="auto"/>
              <w:contextualSpacing/>
              <w:rPr>
                <w:szCs w:val="24"/>
                <w:lang w:val="en-US" w:eastAsia="en-US"/>
              </w:rPr>
            </w:pPr>
            <w:r w:rsidRPr="00DB2D28">
              <w:rPr>
                <w:szCs w:val="24"/>
                <w:lang w:val="en-US" w:eastAsia="en-US"/>
              </w:rPr>
              <w:t>Agreed rules for JPP connected to new infrastructures (see action on joint public procurement for innovation)</w:t>
            </w:r>
          </w:p>
        </w:tc>
      </w:tr>
      <w:tr w:rsidR="00DB2D28" w:rsidRPr="00DB2D28" w:rsidTr="0086107E">
        <w:tc>
          <w:tcPr>
            <w:tcW w:w="1809" w:type="dxa"/>
          </w:tcPr>
          <w:p w:rsidR="00DB2D28" w:rsidRPr="00DB2D28" w:rsidRDefault="00DB2D28" w:rsidP="00DB2D28">
            <w:pPr>
              <w:rPr>
                <w:szCs w:val="24"/>
                <w:lang w:val="en-US" w:eastAsia="en-US"/>
              </w:rPr>
            </w:pPr>
          </w:p>
        </w:tc>
        <w:tc>
          <w:tcPr>
            <w:tcW w:w="2127" w:type="dxa"/>
          </w:tcPr>
          <w:p w:rsidR="00DB2D28" w:rsidRPr="00DB2D28" w:rsidRDefault="00DB2D28" w:rsidP="00DB2D28">
            <w:pPr>
              <w:rPr>
                <w:szCs w:val="24"/>
                <w:lang w:val="en-US" w:eastAsia="en-US"/>
              </w:rPr>
            </w:pPr>
            <w:r w:rsidRPr="00DB2D28">
              <w:rPr>
                <w:szCs w:val="24"/>
                <w:lang w:val="en-US" w:eastAsia="en-US"/>
              </w:rPr>
              <w:t>Access to data</w:t>
            </w:r>
          </w:p>
        </w:tc>
        <w:tc>
          <w:tcPr>
            <w:tcW w:w="1984" w:type="dxa"/>
          </w:tcPr>
          <w:p w:rsidR="00DB2D28" w:rsidRPr="00DB2D28" w:rsidRDefault="00DB2D28" w:rsidP="00DB2D28">
            <w:pPr>
              <w:rPr>
                <w:szCs w:val="24"/>
                <w:lang w:val="en-US" w:eastAsia="en-US"/>
              </w:rPr>
            </w:pPr>
            <w:r w:rsidRPr="00DB2D28">
              <w:rPr>
                <w:szCs w:val="24"/>
                <w:lang w:val="en-US" w:eastAsia="en-US"/>
              </w:rPr>
              <w:t>Cost-effective data collection and management</w:t>
            </w:r>
          </w:p>
        </w:tc>
        <w:tc>
          <w:tcPr>
            <w:tcW w:w="3368" w:type="dxa"/>
          </w:tcPr>
          <w:p w:rsidR="00DB2D28" w:rsidRPr="00DB2D28" w:rsidRDefault="00DB2D28" w:rsidP="00DB2D28">
            <w:pPr>
              <w:numPr>
                <w:ilvl w:val="0"/>
                <w:numId w:val="13"/>
              </w:numPr>
              <w:spacing w:before="200" w:after="200" w:line="276" w:lineRule="auto"/>
              <w:contextualSpacing/>
              <w:rPr>
                <w:szCs w:val="24"/>
                <w:lang w:val="en-US" w:eastAsia="en-US"/>
              </w:rPr>
            </w:pPr>
            <w:r w:rsidRPr="00DB2D28">
              <w:rPr>
                <w:szCs w:val="24"/>
                <w:lang w:val="en-US" w:eastAsia="en-US"/>
              </w:rPr>
              <w:t>Adherence to ERAs open access policy</w:t>
            </w:r>
          </w:p>
          <w:p w:rsidR="00DB2D28" w:rsidRPr="00DB2D28" w:rsidRDefault="00DB2D28" w:rsidP="00DB2D28">
            <w:pPr>
              <w:numPr>
                <w:ilvl w:val="0"/>
                <w:numId w:val="13"/>
              </w:numPr>
              <w:spacing w:before="200" w:after="200" w:line="276" w:lineRule="auto"/>
              <w:contextualSpacing/>
              <w:rPr>
                <w:szCs w:val="24"/>
                <w:lang w:val="en-US" w:eastAsia="en-US"/>
              </w:rPr>
            </w:pPr>
            <w:r w:rsidRPr="00DB2D28">
              <w:rPr>
                <w:szCs w:val="24"/>
                <w:lang w:val="en-US" w:eastAsia="en-US"/>
              </w:rPr>
              <w:t>Pan-JPI agreement on location and management of key data resources</w:t>
            </w:r>
          </w:p>
          <w:p w:rsidR="00DB2D28" w:rsidRPr="00DB2D28" w:rsidRDefault="00DB2D28" w:rsidP="00DB2D28">
            <w:pPr>
              <w:numPr>
                <w:ilvl w:val="0"/>
                <w:numId w:val="13"/>
              </w:numPr>
              <w:spacing w:before="200" w:after="200" w:line="276" w:lineRule="auto"/>
              <w:contextualSpacing/>
              <w:rPr>
                <w:szCs w:val="24"/>
                <w:lang w:val="en-US" w:eastAsia="en-US"/>
              </w:rPr>
            </w:pPr>
            <w:r w:rsidRPr="00DB2D28">
              <w:rPr>
                <w:szCs w:val="24"/>
                <w:lang w:val="en-US" w:eastAsia="en-US"/>
              </w:rPr>
              <w:t>Actual use of data in research by researchers external to location</w:t>
            </w:r>
          </w:p>
          <w:p w:rsidR="00DB2D28" w:rsidRPr="00DB2D28" w:rsidRDefault="00DB2D28" w:rsidP="00DB2D28">
            <w:pPr>
              <w:numPr>
                <w:ilvl w:val="0"/>
                <w:numId w:val="13"/>
              </w:numPr>
              <w:spacing w:before="200" w:after="200" w:line="276" w:lineRule="auto"/>
              <w:contextualSpacing/>
              <w:rPr>
                <w:szCs w:val="24"/>
                <w:lang w:val="en-US" w:eastAsia="en-US"/>
              </w:rPr>
            </w:pPr>
            <w:r w:rsidRPr="00DB2D28">
              <w:rPr>
                <w:szCs w:val="24"/>
                <w:lang w:val="en-US" w:eastAsia="en-US"/>
              </w:rPr>
              <w:t>Effective virtual infrastructures with open access to data</w:t>
            </w:r>
          </w:p>
        </w:tc>
      </w:tr>
      <w:tr w:rsidR="00DB2D28" w:rsidRPr="00DB2D28" w:rsidTr="0086107E">
        <w:tc>
          <w:tcPr>
            <w:tcW w:w="1809" w:type="dxa"/>
          </w:tcPr>
          <w:p w:rsidR="00DB2D28" w:rsidRPr="00DB2D28" w:rsidRDefault="00DB2D28" w:rsidP="00DB2D28">
            <w:pPr>
              <w:rPr>
                <w:szCs w:val="24"/>
                <w:lang w:val="en-US" w:eastAsia="en-US"/>
              </w:rPr>
            </w:pPr>
            <w:r w:rsidRPr="00DB2D28">
              <w:rPr>
                <w:szCs w:val="24"/>
                <w:lang w:val="en-US" w:eastAsia="en-US"/>
              </w:rPr>
              <w:lastRenderedPageBreak/>
              <w:t>Supporting actions</w:t>
            </w:r>
          </w:p>
        </w:tc>
        <w:tc>
          <w:tcPr>
            <w:tcW w:w="2127" w:type="dxa"/>
          </w:tcPr>
          <w:p w:rsidR="00DB2D28" w:rsidRPr="00DB2D28" w:rsidRDefault="00DB2D28" w:rsidP="00DB2D28">
            <w:pPr>
              <w:rPr>
                <w:szCs w:val="24"/>
                <w:lang w:val="en-US" w:eastAsia="en-US"/>
              </w:rPr>
            </w:pPr>
            <w:r w:rsidRPr="00DB2D28">
              <w:rPr>
                <w:szCs w:val="24"/>
                <w:lang w:val="en-US" w:eastAsia="en-US"/>
              </w:rPr>
              <w:t>Feasibility study, impact assessments, workshops</w:t>
            </w:r>
          </w:p>
        </w:tc>
        <w:tc>
          <w:tcPr>
            <w:tcW w:w="1984" w:type="dxa"/>
          </w:tcPr>
          <w:p w:rsidR="00DB2D28" w:rsidRPr="00DB2D28" w:rsidRDefault="00DB2D28" w:rsidP="00DB2D28">
            <w:pPr>
              <w:rPr>
                <w:szCs w:val="24"/>
                <w:lang w:val="en-US" w:eastAsia="en-US"/>
              </w:rPr>
            </w:pPr>
            <w:r w:rsidRPr="00DB2D28">
              <w:rPr>
                <w:szCs w:val="24"/>
                <w:lang w:val="en-US" w:eastAsia="en-US"/>
              </w:rPr>
              <w:t>Support to decision making in governance bodies</w:t>
            </w:r>
          </w:p>
        </w:tc>
        <w:tc>
          <w:tcPr>
            <w:tcW w:w="3368" w:type="dxa"/>
          </w:tcPr>
          <w:p w:rsidR="00DB2D28" w:rsidRPr="00DB2D28" w:rsidRDefault="00DB2D28" w:rsidP="00DB2D28">
            <w:pPr>
              <w:numPr>
                <w:ilvl w:val="0"/>
                <w:numId w:val="14"/>
              </w:numPr>
              <w:spacing w:before="200" w:after="200" w:line="276" w:lineRule="auto"/>
              <w:contextualSpacing/>
              <w:rPr>
                <w:szCs w:val="24"/>
                <w:lang w:val="en-US" w:eastAsia="en-US"/>
              </w:rPr>
            </w:pPr>
            <w:r w:rsidRPr="00DB2D28">
              <w:rPr>
                <w:szCs w:val="24"/>
                <w:lang w:val="en-US" w:eastAsia="en-US"/>
              </w:rPr>
              <w:t>Transparent and manageable system for evaluation and monitoring in place</w:t>
            </w:r>
          </w:p>
          <w:p w:rsidR="00DB2D28" w:rsidRPr="00DB2D28" w:rsidRDefault="00DB2D28" w:rsidP="00DB2D28">
            <w:pPr>
              <w:numPr>
                <w:ilvl w:val="0"/>
                <w:numId w:val="14"/>
              </w:numPr>
              <w:spacing w:before="200" w:after="200" w:line="276" w:lineRule="auto"/>
              <w:contextualSpacing/>
              <w:rPr>
                <w:szCs w:val="24"/>
                <w:lang w:val="en-US" w:eastAsia="en-US"/>
              </w:rPr>
            </w:pPr>
            <w:r w:rsidRPr="00DB2D28">
              <w:rPr>
                <w:szCs w:val="24"/>
                <w:lang w:val="en-US" w:eastAsia="en-US"/>
              </w:rPr>
              <w:t>Monitoring procedures for pilot actions (see below)</w:t>
            </w:r>
          </w:p>
          <w:p w:rsidR="00DB2D28" w:rsidRPr="00DB2D28" w:rsidRDefault="00DB2D28" w:rsidP="00DB2D28">
            <w:pPr>
              <w:numPr>
                <w:ilvl w:val="0"/>
                <w:numId w:val="14"/>
              </w:numPr>
              <w:spacing w:before="200" w:after="200" w:line="276" w:lineRule="auto"/>
              <w:contextualSpacing/>
              <w:rPr>
                <w:szCs w:val="24"/>
                <w:lang w:val="en-US" w:eastAsia="en-US"/>
              </w:rPr>
            </w:pPr>
            <w:r w:rsidRPr="00DB2D28">
              <w:rPr>
                <w:szCs w:val="24"/>
                <w:lang w:val="en-US" w:eastAsia="en-US"/>
              </w:rPr>
              <w:t>Effective use of supporting actions results in governance bodies</w:t>
            </w:r>
          </w:p>
        </w:tc>
      </w:tr>
      <w:tr w:rsidR="00DB2D28" w:rsidRPr="00DB2D28" w:rsidTr="0086107E">
        <w:tc>
          <w:tcPr>
            <w:tcW w:w="1809" w:type="dxa"/>
          </w:tcPr>
          <w:p w:rsidR="00DB2D28" w:rsidRPr="00DB2D28" w:rsidRDefault="00DB2D28" w:rsidP="00DB2D28">
            <w:pPr>
              <w:rPr>
                <w:szCs w:val="24"/>
                <w:lang w:val="en-US" w:eastAsia="en-US"/>
              </w:rPr>
            </w:pPr>
          </w:p>
        </w:tc>
        <w:tc>
          <w:tcPr>
            <w:tcW w:w="2127" w:type="dxa"/>
          </w:tcPr>
          <w:p w:rsidR="00DB2D28" w:rsidRPr="00DB2D28" w:rsidRDefault="00DB2D28" w:rsidP="00DB2D28">
            <w:pPr>
              <w:rPr>
                <w:szCs w:val="24"/>
                <w:lang w:val="en-US" w:eastAsia="en-US"/>
              </w:rPr>
            </w:pPr>
            <w:r w:rsidRPr="00DB2D28">
              <w:rPr>
                <w:szCs w:val="24"/>
                <w:lang w:val="en-US" w:eastAsia="en-US"/>
              </w:rPr>
              <w:t>Foresight</w:t>
            </w:r>
          </w:p>
        </w:tc>
        <w:tc>
          <w:tcPr>
            <w:tcW w:w="1984" w:type="dxa"/>
          </w:tcPr>
          <w:p w:rsidR="00DB2D28" w:rsidRPr="00DB2D28" w:rsidRDefault="00DB2D28" w:rsidP="00DB2D28">
            <w:pPr>
              <w:rPr>
                <w:szCs w:val="24"/>
                <w:lang w:val="en-US" w:eastAsia="en-US"/>
              </w:rPr>
            </w:pPr>
            <w:r w:rsidRPr="00DB2D28">
              <w:rPr>
                <w:szCs w:val="24"/>
                <w:lang w:val="en-US" w:eastAsia="en-US"/>
              </w:rPr>
              <w:t>Forward-looking tool for decision making</w:t>
            </w:r>
          </w:p>
        </w:tc>
        <w:tc>
          <w:tcPr>
            <w:tcW w:w="3368" w:type="dxa"/>
          </w:tcPr>
          <w:p w:rsidR="00DB2D28" w:rsidRPr="00DB2D28" w:rsidRDefault="00DB2D28" w:rsidP="00DB2D28">
            <w:pPr>
              <w:numPr>
                <w:ilvl w:val="0"/>
                <w:numId w:val="15"/>
              </w:numPr>
              <w:spacing w:before="200" w:after="200" w:line="276" w:lineRule="auto"/>
              <w:contextualSpacing/>
              <w:rPr>
                <w:szCs w:val="24"/>
                <w:lang w:val="en-US" w:eastAsia="en-US"/>
              </w:rPr>
            </w:pPr>
            <w:r w:rsidRPr="00DB2D28">
              <w:rPr>
                <w:szCs w:val="24"/>
                <w:lang w:val="en-US" w:eastAsia="en-US"/>
              </w:rPr>
              <w:t>Selective use of foresight studies in priority areas related to gap analysis</w:t>
            </w:r>
          </w:p>
          <w:p w:rsidR="00DB2D28" w:rsidRPr="00DB2D28" w:rsidRDefault="00DB2D28" w:rsidP="00DB2D28">
            <w:pPr>
              <w:numPr>
                <w:ilvl w:val="0"/>
                <w:numId w:val="15"/>
              </w:numPr>
              <w:spacing w:before="200" w:after="200" w:line="276" w:lineRule="auto"/>
              <w:contextualSpacing/>
              <w:rPr>
                <w:szCs w:val="24"/>
                <w:lang w:val="en-US" w:eastAsia="en-US"/>
              </w:rPr>
            </w:pPr>
            <w:r w:rsidRPr="00DB2D28">
              <w:rPr>
                <w:szCs w:val="24"/>
                <w:lang w:val="en-US" w:eastAsia="en-US"/>
              </w:rPr>
              <w:t>Effective exploitation of existing studies</w:t>
            </w:r>
          </w:p>
        </w:tc>
      </w:tr>
      <w:tr w:rsidR="00DB2D28" w:rsidRPr="00DB2D28" w:rsidTr="0086107E">
        <w:tc>
          <w:tcPr>
            <w:tcW w:w="1809" w:type="dxa"/>
          </w:tcPr>
          <w:p w:rsidR="00DB2D28" w:rsidRPr="00DB2D28" w:rsidRDefault="00DB2D28" w:rsidP="00DB2D28">
            <w:pPr>
              <w:rPr>
                <w:szCs w:val="24"/>
                <w:lang w:val="en-US" w:eastAsia="en-US"/>
              </w:rPr>
            </w:pPr>
          </w:p>
        </w:tc>
        <w:tc>
          <w:tcPr>
            <w:tcW w:w="2127" w:type="dxa"/>
          </w:tcPr>
          <w:p w:rsidR="00DB2D28" w:rsidRPr="00DB2D28" w:rsidRDefault="00DB2D28" w:rsidP="00DB2D28">
            <w:pPr>
              <w:rPr>
                <w:szCs w:val="24"/>
                <w:lang w:val="en-US" w:eastAsia="en-US"/>
              </w:rPr>
            </w:pPr>
            <w:r w:rsidRPr="00DB2D28">
              <w:rPr>
                <w:szCs w:val="24"/>
                <w:lang w:val="en-US" w:eastAsia="en-US"/>
              </w:rPr>
              <w:t>Emergency issues</w:t>
            </w:r>
          </w:p>
        </w:tc>
        <w:tc>
          <w:tcPr>
            <w:tcW w:w="1984" w:type="dxa"/>
          </w:tcPr>
          <w:p w:rsidR="00DB2D28" w:rsidRPr="00DB2D28" w:rsidRDefault="00DB2D28" w:rsidP="00DB2D28">
            <w:pPr>
              <w:rPr>
                <w:szCs w:val="24"/>
                <w:lang w:val="en-US" w:eastAsia="en-US"/>
              </w:rPr>
            </w:pPr>
            <w:r w:rsidRPr="00DB2D28">
              <w:rPr>
                <w:szCs w:val="24"/>
                <w:lang w:val="en-US" w:eastAsia="en-US"/>
              </w:rPr>
              <w:t>Support to decision making in intervention</w:t>
            </w:r>
          </w:p>
        </w:tc>
        <w:tc>
          <w:tcPr>
            <w:tcW w:w="3368" w:type="dxa"/>
          </w:tcPr>
          <w:p w:rsidR="00DB2D28" w:rsidRPr="00DB2D28" w:rsidRDefault="00DB2D28" w:rsidP="00DB2D28">
            <w:pPr>
              <w:numPr>
                <w:ilvl w:val="0"/>
                <w:numId w:val="16"/>
              </w:numPr>
              <w:spacing w:before="200" w:after="200" w:line="276" w:lineRule="auto"/>
              <w:contextualSpacing/>
              <w:rPr>
                <w:szCs w:val="24"/>
                <w:lang w:val="en-US" w:eastAsia="en-US"/>
              </w:rPr>
            </w:pPr>
            <w:r w:rsidRPr="00DB2D28">
              <w:rPr>
                <w:szCs w:val="24"/>
                <w:lang w:val="en-US" w:eastAsia="en-US"/>
              </w:rPr>
              <w:t>Contribution to pan-European contingency plans</w:t>
            </w:r>
          </w:p>
          <w:p w:rsidR="00DB2D28" w:rsidRPr="00DB2D28" w:rsidRDefault="00DB2D28" w:rsidP="00DB2D28">
            <w:pPr>
              <w:numPr>
                <w:ilvl w:val="0"/>
                <w:numId w:val="16"/>
              </w:numPr>
              <w:spacing w:before="200" w:after="200" w:line="276" w:lineRule="auto"/>
              <w:contextualSpacing/>
              <w:rPr>
                <w:szCs w:val="24"/>
                <w:lang w:val="en-US" w:eastAsia="en-US"/>
              </w:rPr>
            </w:pPr>
            <w:r w:rsidRPr="00DB2D28">
              <w:rPr>
                <w:szCs w:val="24"/>
                <w:lang w:val="en-US" w:eastAsia="en-US"/>
              </w:rPr>
              <w:t>Contribution to and capacity in risk assessments</w:t>
            </w:r>
          </w:p>
          <w:p w:rsidR="00DB2D28" w:rsidRPr="00DB2D28" w:rsidRDefault="00DB2D28" w:rsidP="00DB2D28">
            <w:pPr>
              <w:numPr>
                <w:ilvl w:val="0"/>
                <w:numId w:val="16"/>
              </w:numPr>
              <w:spacing w:before="200" w:after="200" w:line="276" w:lineRule="auto"/>
              <w:contextualSpacing/>
              <w:rPr>
                <w:szCs w:val="24"/>
                <w:lang w:val="en-US" w:eastAsia="en-US"/>
              </w:rPr>
            </w:pPr>
            <w:r w:rsidRPr="00DB2D28">
              <w:rPr>
                <w:szCs w:val="24"/>
                <w:lang w:val="en-US" w:eastAsia="en-US"/>
              </w:rPr>
              <w:t>Reduction of time scales for intervention</w:t>
            </w:r>
          </w:p>
          <w:p w:rsidR="00DB2D28" w:rsidRPr="00DB2D28" w:rsidRDefault="00DB2D28" w:rsidP="00DB2D28">
            <w:pPr>
              <w:numPr>
                <w:ilvl w:val="0"/>
                <w:numId w:val="16"/>
              </w:numPr>
              <w:spacing w:before="200" w:after="200" w:line="276" w:lineRule="auto"/>
              <w:contextualSpacing/>
              <w:rPr>
                <w:szCs w:val="24"/>
                <w:lang w:val="en-US" w:eastAsia="en-US"/>
              </w:rPr>
            </w:pPr>
            <w:r w:rsidRPr="00DB2D28">
              <w:rPr>
                <w:szCs w:val="24"/>
                <w:lang w:val="en-US" w:eastAsia="en-US"/>
              </w:rPr>
              <w:t>Preparedness and organization of scientific input in emergency situations, e.g. expert boards</w:t>
            </w:r>
          </w:p>
        </w:tc>
      </w:tr>
    </w:tbl>
    <w:p w:rsidR="00DB2D28" w:rsidRPr="00DB2D28" w:rsidRDefault="00DB2D28" w:rsidP="00DB2D28">
      <w:pPr>
        <w:spacing w:before="200" w:after="200" w:line="276" w:lineRule="auto"/>
        <w:jc w:val="both"/>
        <w:rPr>
          <w:szCs w:val="24"/>
          <w:lang w:val="en-US" w:eastAsia="en-US"/>
        </w:rPr>
      </w:pPr>
    </w:p>
    <w:p w:rsidR="006E1927" w:rsidRPr="00BF62D3" w:rsidRDefault="006E1927">
      <w:pPr>
        <w:rPr>
          <w:szCs w:val="24"/>
          <w:lang w:val="en-US"/>
        </w:rPr>
      </w:pPr>
    </w:p>
    <w:sectPr w:rsidR="006E1927" w:rsidRPr="00BF6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eSans B7 Bold">
    <w:panose1 w:val="02000503040000020004"/>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0E0"/>
    <w:multiLevelType w:val="hybridMultilevel"/>
    <w:tmpl w:val="9664F9BC"/>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0AFE5346"/>
    <w:multiLevelType w:val="hybridMultilevel"/>
    <w:tmpl w:val="D46E15E6"/>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13C76A66"/>
    <w:multiLevelType w:val="hybridMultilevel"/>
    <w:tmpl w:val="18282AC2"/>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1A530FA7"/>
    <w:multiLevelType w:val="hybridMultilevel"/>
    <w:tmpl w:val="41442666"/>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1AF1507D"/>
    <w:multiLevelType w:val="hybridMultilevel"/>
    <w:tmpl w:val="193EE96C"/>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1BB77444"/>
    <w:multiLevelType w:val="hybridMultilevel"/>
    <w:tmpl w:val="6DFCE9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1ED47579"/>
    <w:multiLevelType w:val="hybridMultilevel"/>
    <w:tmpl w:val="FE800DD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F7036C3"/>
    <w:multiLevelType w:val="hybridMultilevel"/>
    <w:tmpl w:val="19CAA2E6"/>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2D42749D"/>
    <w:multiLevelType w:val="hybridMultilevel"/>
    <w:tmpl w:val="E826BCAC"/>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4F677376"/>
    <w:multiLevelType w:val="hybridMultilevel"/>
    <w:tmpl w:val="AF4C9424"/>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nsid w:val="52CC26A4"/>
    <w:multiLevelType w:val="hybridMultilevel"/>
    <w:tmpl w:val="479ECB6C"/>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nsid w:val="621C27E0"/>
    <w:multiLevelType w:val="hybridMultilevel"/>
    <w:tmpl w:val="E52C6426"/>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63713728"/>
    <w:multiLevelType w:val="hybridMultilevel"/>
    <w:tmpl w:val="673AB37A"/>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688B650D"/>
    <w:multiLevelType w:val="hybridMultilevel"/>
    <w:tmpl w:val="C8B44E9A"/>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nsid w:val="6F015728"/>
    <w:multiLevelType w:val="hybridMultilevel"/>
    <w:tmpl w:val="CF7EBA82"/>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nsid w:val="6FD46B88"/>
    <w:multiLevelType w:val="hybridMultilevel"/>
    <w:tmpl w:val="325EBF00"/>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nsid w:val="728C3637"/>
    <w:multiLevelType w:val="hybridMultilevel"/>
    <w:tmpl w:val="5840E6E8"/>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nsid w:val="7AA1451B"/>
    <w:multiLevelType w:val="hybridMultilevel"/>
    <w:tmpl w:val="1612F8CC"/>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2"/>
  </w:num>
  <w:num w:numId="4">
    <w:abstractNumId w:val="9"/>
  </w:num>
  <w:num w:numId="5">
    <w:abstractNumId w:val="16"/>
  </w:num>
  <w:num w:numId="6">
    <w:abstractNumId w:val="10"/>
  </w:num>
  <w:num w:numId="7">
    <w:abstractNumId w:val="8"/>
  </w:num>
  <w:num w:numId="8">
    <w:abstractNumId w:val="3"/>
  </w:num>
  <w:num w:numId="9">
    <w:abstractNumId w:val="14"/>
  </w:num>
  <w:num w:numId="10">
    <w:abstractNumId w:val="7"/>
  </w:num>
  <w:num w:numId="11">
    <w:abstractNumId w:val="11"/>
  </w:num>
  <w:num w:numId="12">
    <w:abstractNumId w:val="13"/>
  </w:num>
  <w:num w:numId="13">
    <w:abstractNumId w:val="1"/>
  </w:num>
  <w:num w:numId="14">
    <w:abstractNumId w:val="4"/>
  </w:num>
  <w:num w:numId="15">
    <w:abstractNumId w:val="12"/>
  </w:num>
  <w:num w:numId="16">
    <w:abstractNumId w:val="0"/>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28"/>
    <w:rsid w:val="006617C0"/>
    <w:rsid w:val="006E1927"/>
    <w:rsid w:val="009C0062"/>
    <w:rsid w:val="00BF62D3"/>
    <w:rsid w:val="00DB2D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7C0"/>
    <w:pPr>
      <w:spacing w:after="0" w:line="240" w:lineRule="auto"/>
    </w:pPr>
    <w:rPr>
      <w:rFonts w:ascii="Times New Roman" w:hAnsi="Times New Roman" w:cs="Times New Roman"/>
      <w:sz w:val="24"/>
      <w:szCs w:val="20"/>
      <w:lang w:eastAsia="nb-NO"/>
    </w:rPr>
  </w:style>
  <w:style w:type="paragraph" w:styleId="Overskrift1">
    <w:name w:val="heading 1"/>
    <w:basedOn w:val="Normal"/>
    <w:next w:val="Normal"/>
    <w:link w:val="Overskrift1Tegn"/>
    <w:qFormat/>
    <w:rsid w:val="006617C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link w:val="Overskrift2Tegn"/>
    <w:qFormat/>
    <w:rsid w:val="006617C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6617C0"/>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617C0"/>
    <w:rPr>
      <w:rFonts w:ascii="TheSans B7 Bold" w:eastAsia="Times New Roman" w:hAnsi="TheSans B7 Bold" w:cs="Times New Roman"/>
      <w:sz w:val="48"/>
      <w:szCs w:val="20"/>
      <w:lang w:eastAsia="nb-NO"/>
    </w:rPr>
  </w:style>
  <w:style w:type="character" w:customStyle="1" w:styleId="Overskrift2Tegn">
    <w:name w:val="Overskrift 2 Tegn"/>
    <w:basedOn w:val="Standardskriftforavsnitt"/>
    <w:link w:val="Overskrift2"/>
    <w:rsid w:val="006617C0"/>
    <w:rPr>
      <w:rFonts w:ascii="TheSans B7 Bold" w:eastAsia="Times New Roman" w:hAnsi="TheSans B7 Bold" w:cs="Times New Roman"/>
      <w:sz w:val="30"/>
      <w:szCs w:val="20"/>
      <w:lang w:eastAsia="nb-NO"/>
    </w:rPr>
  </w:style>
  <w:style w:type="character" w:customStyle="1" w:styleId="Overskrift3Tegn">
    <w:name w:val="Overskrift 3 Tegn"/>
    <w:basedOn w:val="Standardskriftforavsnitt"/>
    <w:link w:val="Overskrift3"/>
    <w:rsid w:val="006617C0"/>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6617C0"/>
    <w:pPr>
      <w:keepNext/>
      <w:keepLines/>
      <w:spacing w:before="360" w:after="60"/>
    </w:pPr>
    <w:rPr>
      <w:i/>
    </w:rPr>
  </w:style>
  <w:style w:type="paragraph" w:styleId="Merknadstekst">
    <w:name w:val="annotation text"/>
    <w:basedOn w:val="Normal"/>
    <w:link w:val="MerknadstekstTegn"/>
    <w:uiPriority w:val="99"/>
    <w:semiHidden/>
    <w:unhideWhenUsed/>
    <w:rsid w:val="00DB2D28"/>
    <w:rPr>
      <w:sz w:val="20"/>
    </w:rPr>
  </w:style>
  <w:style w:type="character" w:customStyle="1" w:styleId="MerknadstekstTegn">
    <w:name w:val="Merknadstekst Tegn"/>
    <w:basedOn w:val="Standardskriftforavsnitt"/>
    <w:link w:val="Merknadstekst"/>
    <w:uiPriority w:val="99"/>
    <w:semiHidden/>
    <w:rsid w:val="00DB2D28"/>
    <w:rPr>
      <w:rFonts w:ascii="Times New Roman" w:hAnsi="Times New Roman" w:cs="Times New Roman"/>
      <w:sz w:val="20"/>
      <w:szCs w:val="20"/>
      <w:lang w:eastAsia="nb-NO"/>
    </w:rPr>
  </w:style>
  <w:style w:type="character" w:styleId="Merknadsreferanse">
    <w:name w:val="annotation reference"/>
    <w:uiPriority w:val="99"/>
    <w:semiHidden/>
    <w:unhideWhenUsed/>
    <w:rsid w:val="00DB2D28"/>
    <w:rPr>
      <w:sz w:val="16"/>
      <w:szCs w:val="16"/>
    </w:rPr>
  </w:style>
  <w:style w:type="paragraph" w:styleId="Bobletekst">
    <w:name w:val="Balloon Text"/>
    <w:basedOn w:val="Normal"/>
    <w:link w:val="BobletekstTegn"/>
    <w:uiPriority w:val="99"/>
    <w:semiHidden/>
    <w:unhideWhenUsed/>
    <w:rsid w:val="00DB2D28"/>
    <w:rPr>
      <w:rFonts w:ascii="Tahoma" w:hAnsi="Tahoma" w:cs="Tahoma"/>
      <w:sz w:val="16"/>
      <w:szCs w:val="16"/>
    </w:rPr>
  </w:style>
  <w:style w:type="character" w:customStyle="1" w:styleId="BobletekstTegn">
    <w:name w:val="Bobletekst Tegn"/>
    <w:basedOn w:val="Standardskriftforavsnitt"/>
    <w:link w:val="Bobletekst"/>
    <w:uiPriority w:val="99"/>
    <w:semiHidden/>
    <w:rsid w:val="00DB2D28"/>
    <w:rPr>
      <w:rFonts w:ascii="Tahoma" w:hAnsi="Tahoma" w:cs="Tahoma"/>
      <w:sz w:val="16"/>
      <w:szCs w:val="16"/>
      <w:lang w:eastAsia="nb-NO"/>
    </w:rPr>
  </w:style>
  <w:style w:type="paragraph" w:styleId="Listeavsnitt">
    <w:name w:val="List Paragraph"/>
    <w:basedOn w:val="Normal"/>
    <w:uiPriority w:val="34"/>
    <w:qFormat/>
    <w:rsid w:val="00DB2D28"/>
    <w:pPr>
      <w:spacing w:before="200" w:after="200" w:line="276" w:lineRule="auto"/>
      <w:ind w:left="720"/>
      <w:contextualSpacing/>
    </w:pPr>
    <w:rPr>
      <w:rFonts w:ascii="Calibri" w:hAnsi="Calibri"/>
      <w:sz w:val="22"/>
      <w:lang w:val="nl-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7C0"/>
    <w:pPr>
      <w:spacing w:after="0" w:line="240" w:lineRule="auto"/>
    </w:pPr>
    <w:rPr>
      <w:rFonts w:ascii="Times New Roman" w:hAnsi="Times New Roman" w:cs="Times New Roman"/>
      <w:sz w:val="24"/>
      <w:szCs w:val="20"/>
      <w:lang w:eastAsia="nb-NO"/>
    </w:rPr>
  </w:style>
  <w:style w:type="paragraph" w:styleId="Overskrift1">
    <w:name w:val="heading 1"/>
    <w:basedOn w:val="Normal"/>
    <w:next w:val="Normal"/>
    <w:link w:val="Overskrift1Tegn"/>
    <w:qFormat/>
    <w:rsid w:val="006617C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link w:val="Overskrift2Tegn"/>
    <w:qFormat/>
    <w:rsid w:val="006617C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6617C0"/>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617C0"/>
    <w:rPr>
      <w:rFonts w:ascii="TheSans B7 Bold" w:eastAsia="Times New Roman" w:hAnsi="TheSans B7 Bold" w:cs="Times New Roman"/>
      <w:sz w:val="48"/>
      <w:szCs w:val="20"/>
      <w:lang w:eastAsia="nb-NO"/>
    </w:rPr>
  </w:style>
  <w:style w:type="character" w:customStyle="1" w:styleId="Overskrift2Tegn">
    <w:name w:val="Overskrift 2 Tegn"/>
    <w:basedOn w:val="Standardskriftforavsnitt"/>
    <w:link w:val="Overskrift2"/>
    <w:rsid w:val="006617C0"/>
    <w:rPr>
      <w:rFonts w:ascii="TheSans B7 Bold" w:eastAsia="Times New Roman" w:hAnsi="TheSans B7 Bold" w:cs="Times New Roman"/>
      <w:sz w:val="30"/>
      <w:szCs w:val="20"/>
      <w:lang w:eastAsia="nb-NO"/>
    </w:rPr>
  </w:style>
  <w:style w:type="character" w:customStyle="1" w:styleId="Overskrift3Tegn">
    <w:name w:val="Overskrift 3 Tegn"/>
    <w:basedOn w:val="Standardskriftforavsnitt"/>
    <w:link w:val="Overskrift3"/>
    <w:rsid w:val="006617C0"/>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6617C0"/>
    <w:pPr>
      <w:keepNext/>
      <w:keepLines/>
      <w:spacing w:before="360" w:after="60"/>
    </w:pPr>
    <w:rPr>
      <w:i/>
    </w:rPr>
  </w:style>
  <w:style w:type="paragraph" w:styleId="Merknadstekst">
    <w:name w:val="annotation text"/>
    <w:basedOn w:val="Normal"/>
    <w:link w:val="MerknadstekstTegn"/>
    <w:uiPriority w:val="99"/>
    <w:semiHidden/>
    <w:unhideWhenUsed/>
    <w:rsid w:val="00DB2D28"/>
    <w:rPr>
      <w:sz w:val="20"/>
    </w:rPr>
  </w:style>
  <w:style w:type="character" w:customStyle="1" w:styleId="MerknadstekstTegn">
    <w:name w:val="Merknadstekst Tegn"/>
    <w:basedOn w:val="Standardskriftforavsnitt"/>
    <w:link w:val="Merknadstekst"/>
    <w:uiPriority w:val="99"/>
    <w:semiHidden/>
    <w:rsid w:val="00DB2D28"/>
    <w:rPr>
      <w:rFonts w:ascii="Times New Roman" w:hAnsi="Times New Roman" w:cs="Times New Roman"/>
      <w:sz w:val="20"/>
      <w:szCs w:val="20"/>
      <w:lang w:eastAsia="nb-NO"/>
    </w:rPr>
  </w:style>
  <w:style w:type="character" w:styleId="Merknadsreferanse">
    <w:name w:val="annotation reference"/>
    <w:uiPriority w:val="99"/>
    <w:semiHidden/>
    <w:unhideWhenUsed/>
    <w:rsid w:val="00DB2D28"/>
    <w:rPr>
      <w:sz w:val="16"/>
      <w:szCs w:val="16"/>
    </w:rPr>
  </w:style>
  <w:style w:type="paragraph" w:styleId="Bobletekst">
    <w:name w:val="Balloon Text"/>
    <w:basedOn w:val="Normal"/>
    <w:link w:val="BobletekstTegn"/>
    <w:uiPriority w:val="99"/>
    <w:semiHidden/>
    <w:unhideWhenUsed/>
    <w:rsid w:val="00DB2D28"/>
    <w:rPr>
      <w:rFonts w:ascii="Tahoma" w:hAnsi="Tahoma" w:cs="Tahoma"/>
      <w:sz w:val="16"/>
      <w:szCs w:val="16"/>
    </w:rPr>
  </w:style>
  <w:style w:type="character" w:customStyle="1" w:styleId="BobletekstTegn">
    <w:name w:val="Bobletekst Tegn"/>
    <w:basedOn w:val="Standardskriftforavsnitt"/>
    <w:link w:val="Bobletekst"/>
    <w:uiPriority w:val="99"/>
    <w:semiHidden/>
    <w:rsid w:val="00DB2D28"/>
    <w:rPr>
      <w:rFonts w:ascii="Tahoma" w:hAnsi="Tahoma" w:cs="Tahoma"/>
      <w:sz w:val="16"/>
      <w:szCs w:val="16"/>
      <w:lang w:eastAsia="nb-NO"/>
    </w:rPr>
  </w:style>
  <w:style w:type="paragraph" w:styleId="Listeavsnitt">
    <w:name w:val="List Paragraph"/>
    <w:basedOn w:val="Normal"/>
    <w:uiPriority w:val="34"/>
    <w:qFormat/>
    <w:rsid w:val="00DB2D28"/>
    <w:pPr>
      <w:spacing w:before="200" w:after="200" w:line="276" w:lineRule="auto"/>
      <w:ind w:left="720"/>
      <w:contextualSpacing/>
    </w:pPr>
    <w:rPr>
      <w:rFonts w:ascii="Calibri" w:hAnsi="Calibri"/>
      <w:sz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1077</Words>
  <Characters>5714</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 Otto Remøe</dc:creator>
  <cp:lastModifiedBy>Svend Otto Remøe</cp:lastModifiedBy>
  <cp:revision>2</cp:revision>
  <dcterms:created xsi:type="dcterms:W3CDTF">2015-04-22T07:33:00Z</dcterms:created>
  <dcterms:modified xsi:type="dcterms:W3CDTF">2015-04-22T08:12:00Z</dcterms:modified>
</cp:coreProperties>
</file>