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57" w:rsidRPr="00DB6657" w:rsidRDefault="00DB6657" w:rsidP="00DB6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B6657">
        <w:rPr>
          <w:rFonts w:ascii="Times New Roman" w:hAnsi="Times New Roman" w:cs="Times New Roman"/>
          <w:b/>
          <w:bCs/>
          <w:sz w:val="32"/>
          <w:szCs w:val="32"/>
          <w:lang w:val="en-US"/>
        </w:rPr>
        <w:t>FP 7 Grant Agreement</w:t>
      </w:r>
    </w:p>
    <w:p w:rsidR="00DB6657" w:rsidRDefault="005074DC" w:rsidP="00DB665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DB665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Annex </w:t>
      </w:r>
      <w:r w:rsidR="00D151F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3 </w:t>
      </w:r>
    </w:p>
    <w:p w:rsidR="005074DC" w:rsidRDefault="005074DC" w:rsidP="005074D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Specific provisions for </w:t>
      </w:r>
      <w:r w:rsidRPr="00DB6657">
        <w:rPr>
          <w:rFonts w:ascii="Times New Roman" w:hAnsi="Times New Roman" w:cs="Times New Roman"/>
          <w:b/>
          <w:bCs/>
          <w:sz w:val="32"/>
          <w:szCs w:val="32"/>
          <w:lang w:val="en-US"/>
        </w:rPr>
        <w:t>ERA-NET Plus actions</w:t>
      </w:r>
    </w:p>
    <w:p w:rsidR="00DB6657" w:rsidRDefault="00DB6657" w:rsidP="00DB6657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B6657" w:rsidRPr="00DB6657" w:rsidRDefault="00E72530" w:rsidP="00DB6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DB6657"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Definitions</w:t>
      </w:r>
    </w:p>
    <w:p w:rsidR="00DB6657" w:rsidRP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In addition to the definitions in Article </w:t>
      </w:r>
      <w:r>
        <w:rPr>
          <w:rFonts w:ascii="Times New Roman" w:hAnsi="Times New Roman" w:cs="Times New Roman"/>
          <w:sz w:val="24"/>
          <w:szCs w:val="24"/>
          <w:lang w:val="en-US"/>
        </w:rPr>
        <w:t>[article number] of the Grant Agreement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, the following definitions apply to this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grant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agreement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Joint call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means a [single] call for trans-national research proposals launched by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consortium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, including all necessary aspects for the implementation and management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joint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call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Trans-national 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means the projects funded out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joint call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involving at least 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independent legal entities from two different member states or associated countries.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Joint selection list of </w:t>
      </w:r>
      <w:r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trans-national 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means the list of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trans-national 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formally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selected by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consortium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on the basis of the criteria described in Article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VII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, paragraph 3.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joint selection list of trans-national 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is the main deliverable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project.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B6657" w:rsidRPr="00DB6657" w:rsidRDefault="00E72530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B6657"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Duration of the </w:t>
      </w:r>
      <w:r w:rsidR="00DB6657"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project</w:t>
      </w:r>
    </w:p>
    <w:p w:rsidR="00DB6657" w:rsidRP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The total duration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project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not exceed 5 years from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start date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project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B6657" w:rsidRPr="00DB6657" w:rsidRDefault="00E72530" w:rsidP="00DB6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DB6657"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Specific performance obligations of each </w:t>
      </w:r>
      <w:r w:rsidR="00DB6657"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beneficiary</w:t>
      </w:r>
    </w:p>
    <w:p w:rsidR="00DB6657" w:rsidRP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In addition to the terms of Article II.3, each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beneficiary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deliver to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Commission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together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joint selection list of trans-national 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a formal commitment, signed by 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respective </w:t>
      </w:r>
      <w:proofErr w:type="spellStart"/>
      <w:r w:rsidRPr="00DB6657">
        <w:rPr>
          <w:rFonts w:ascii="Times New Roman" w:hAnsi="Times New Roman" w:cs="Times New Roman"/>
          <w:sz w:val="24"/>
          <w:szCs w:val="24"/>
          <w:lang w:val="en-US"/>
        </w:rPr>
        <w:t>authorised</w:t>
      </w:r>
      <w:proofErr w:type="spellEnd"/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 representative, to identify its specific amount to assure the total necessary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national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funding to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trans-national projects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B6657" w:rsidRPr="00DB6657" w:rsidRDefault="00E72530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DB6657"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–The financial contribution of </w:t>
      </w:r>
      <w:r w:rsidR="00DB6657"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Union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1. The financial contribution of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Union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be determined by the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>reimbursement of eligible</w:t>
      </w:r>
      <w:r w:rsidR="00E725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costs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as an agreed proportional contribution to the costs incurred by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beneficiaries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for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funding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joint selection list of trans-national projects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 This agreed proportional contribution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is set to maximum 33 % of the total funding allocated to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joint selection list of trans-national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projects.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2.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consortium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ensure that the total funding allocated to any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trans-national projects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complies with competition rules.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3. Should one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beneficiary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not respect its commitment to contribute its agreed share to the total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budget allocated to finance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trans-national projects,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the financial contribution of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Union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be reduced accordingly, except if other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beneficiaries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increase their national funding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accordingly to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joint selection list of trans-national projects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DB6657" w:rsidRDefault="00DB6657" w:rsidP="00D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DB6657" w:rsidRPr="00DB6657" w:rsidRDefault="00E72530" w:rsidP="00DB6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B6657"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Specific Payments modalities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Notwithstanding the provisions of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 article]</w:t>
      </w:r>
      <w:r w:rsid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Commission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shall make the following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payments: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A first pre-financing of EUR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r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insert amount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>] ([</w:t>
      </w:r>
      <w:r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insert amount in words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>] EURO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, as foreseen in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Article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 article]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. This first pre-financing is set to 10% of the maximum financial contribution of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E725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Union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as defined in Article 5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grant agreement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second pre-financing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of EUR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r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insert amount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>] ([</w:t>
      </w:r>
      <w:r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insert amount in words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] EURO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shall be paid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to the coordinator within 45 days following the acceptance by the Commission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joint</w:t>
      </w:r>
      <w:r w:rsidR="00E725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selection list of the trans-national 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and the associated commitment to fund them. It can be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up to 80% of the maximum financial contribution of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Union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as defined in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 article]</w:t>
      </w:r>
      <w:r w:rsid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grant</w:t>
      </w:r>
      <w:r w:rsidR="00E725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agreement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2530" w:rsidRDefault="00E72530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Interim payments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following each reporting period equal to the contribution of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Union</w:t>
      </w:r>
      <w:r w:rsidR="00E725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corresponding to the amount accepted, based on verified and paid funding for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trans-national</w:t>
      </w:r>
      <w:r w:rsidR="00E725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by the consortium, for each reporting period.</w:t>
      </w:r>
    </w:p>
    <w:p w:rsidR="00E72530" w:rsidRDefault="00E72530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c) A </w:t>
      </w: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final payment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of the financial contribution of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Union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in accordance with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 article]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72530" w:rsidRDefault="00E72530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B6657" w:rsidRPr="00DB6657" w:rsidRDefault="00E72530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DB6657"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Change in the composition of the </w:t>
      </w:r>
      <w:r w:rsidR="00DB6657"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consortium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In addition to the terms of Article II.36, any request for the addition or removal of a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beneficiary</w:t>
      </w:r>
      <w:r w:rsidR="00E725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be submitted to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Commission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not later than the publication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joint call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2530" w:rsidRDefault="00E72530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B6657" w:rsidRPr="00DB6657" w:rsidRDefault="00E72530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B6657"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– Implementation and management of the </w:t>
      </w:r>
      <w:r w:rsidR="00DB6657" w:rsidRPr="00DB6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joint call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1.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consortium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publish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joint call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in accordance with the terms of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 article]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2530" w:rsidRDefault="00E72530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2.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joint call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shall be implemented through the means of a two step procedure. Step 1 may be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657">
        <w:rPr>
          <w:rFonts w:ascii="Times New Roman" w:hAnsi="Times New Roman" w:cs="Times New Roman"/>
          <w:sz w:val="24"/>
          <w:szCs w:val="24"/>
          <w:lang w:val="en-US"/>
        </w:rPr>
        <w:t>organised</w:t>
      </w:r>
      <w:proofErr w:type="spellEnd"/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 in a </w:t>
      </w:r>
      <w:proofErr w:type="spellStart"/>
      <w:r w:rsidRPr="00DB6657">
        <w:rPr>
          <w:rFonts w:ascii="Times New Roman" w:hAnsi="Times New Roman" w:cs="Times New Roman"/>
          <w:sz w:val="24"/>
          <w:szCs w:val="24"/>
          <w:lang w:val="en-US"/>
        </w:rPr>
        <w:t>decentralised</w:t>
      </w:r>
      <w:proofErr w:type="spellEnd"/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 manner. Step 2 shall follow the principles of a single international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peer review, as described in paragraph 3.</w:t>
      </w:r>
    </w:p>
    <w:p w:rsidR="00E72530" w:rsidRDefault="00E72530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3.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consortium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shall evaluate proposals received with the assistance of at least three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independent experts appointed by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consortium,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on the basis of at least the following set of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criteria:</w:t>
      </w:r>
    </w:p>
    <w:p w:rsid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- Scientific and/or technological excellence - Quality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trans-national project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(Threshold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3/5)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Arial" w:hAnsi="Arial" w:cs="Arial"/>
          <w:sz w:val="24"/>
          <w:szCs w:val="24"/>
          <w:lang w:val="en-US"/>
        </w:rPr>
        <w:t xml:space="preserve">•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Sound concept, and quality of objectives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Arial" w:hAnsi="Arial" w:cs="Arial"/>
          <w:sz w:val="24"/>
          <w:szCs w:val="24"/>
          <w:lang w:val="en-US"/>
        </w:rPr>
        <w:t xml:space="preserve">•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Progress beyond the state-of-the-art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Arial" w:hAnsi="Arial" w:cs="Arial"/>
          <w:sz w:val="24"/>
          <w:szCs w:val="24"/>
          <w:lang w:val="en-US"/>
        </w:rPr>
        <w:t xml:space="preserve">•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Quality and effectiveness of the scientific and technological methodology and associated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work plan</w:t>
      </w:r>
    </w:p>
    <w:p w:rsid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>- Quality and efficiency of the implementation and the management (Threshold 3/5)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Arial" w:hAnsi="Arial" w:cs="Arial"/>
          <w:sz w:val="24"/>
          <w:szCs w:val="24"/>
          <w:lang w:val="en-US"/>
        </w:rPr>
        <w:t xml:space="preserve">•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Appropriateness of the management structure and procedures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Arial" w:hAnsi="Arial" w:cs="Arial"/>
          <w:sz w:val="24"/>
          <w:szCs w:val="24"/>
          <w:lang w:val="en-US"/>
        </w:rPr>
        <w:t xml:space="preserve">•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Quality and relevant experience of the individual participants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Arial" w:hAnsi="Arial" w:cs="Arial"/>
          <w:sz w:val="24"/>
          <w:szCs w:val="24"/>
          <w:lang w:val="en-US"/>
        </w:rPr>
        <w:t xml:space="preserve">•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Quality of the consortium as a whole (including </w:t>
      </w:r>
      <w:proofErr w:type="spellStart"/>
      <w:r w:rsidRPr="00DB6657">
        <w:rPr>
          <w:rFonts w:ascii="Times New Roman" w:hAnsi="Times New Roman" w:cs="Times New Roman"/>
          <w:sz w:val="24"/>
          <w:szCs w:val="24"/>
          <w:lang w:val="en-US"/>
        </w:rPr>
        <w:t>complementarity</w:t>
      </w:r>
      <w:proofErr w:type="spellEnd"/>
      <w:r w:rsidRPr="00DB6657">
        <w:rPr>
          <w:rFonts w:ascii="Times New Roman" w:hAnsi="Times New Roman" w:cs="Times New Roman"/>
          <w:sz w:val="24"/>
          <w:szCs w:val="24"/>
          <w:lang w:val="en-US"/>
        </w:rPr>
        <w:t>, balance)</w:t>
      </w:r>
    </w:p>
    <w:p w:rsidR="00DB6657" w:rsidRPr="00E72530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Arial" w:hAnsi="Arial" w:cs="Arial"/>
          <w:sz w:val="24"/>
          <w:szCs w:val="24"/>
          <w:lang w:val="en-US"/>
        </w:rPr>
        <w:t xml:space="preserve">•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Appropriate allocation and justification of the resources to be committed (budget, staff,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530">
        <w:rPr>
          <w:rFonts w:ascii="Times New Roman" w:hAnsi="Times New Roman" w:cs="Times New Roman"/>
          <w:sz w:val="24"/>
          <w:szCs w:val="24"/>
          <w:lang w:val="en-US"/>
        </w:rPr>
        <w:t>equipment)</w:t>
      </w:r>
    </w:p>
    <w:p w:rsid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>- Potential impact (Threshold 3/5)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Arial" w:hAnsi="Arial" w:cs="Arial"/>
          <w:sz w:val="24"/>
          <w:szCs w:val="24"/>
          <w:lang w:val="en-US"/>
        </w:rPr>
        <w:t xml:space="preserve">•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Contribution, at the European and/or international level, to the expected impacts listed in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the FP7 work </w:t>
      </w:r>
      <w:proofErr w:type="spellStart"/>
      <w:r w:rsidRPr="00DB6657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 under relevant topic/activity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Arial" w:hAnsi="Arial" w:cs="Arial"/>
          <w:sz w:val="24"/>
          <w:szCs w:val="24"/>
          <w:lang w:val="en-US"/>
        </w:rPr>
        <w:t xml:space="preserve">•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Appropriateness of measures for the dissemination and/or exploitation of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trans-national</w:t>
      </w:r>
      <w:r w:rsidR="00E725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results, and management of intellectual property.</w:t>
      </w:r>
    </w:p>
    <w:p w:rsid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4.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joint call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shall remain open for the submission of proposals by interested parties for a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period of at least eight weeks for the whole 2 step procedure.</w:t>
      </w:r>
    </w:p>
    <w:p w:rsid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consortium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shall ensure that the principle of confidentiality is upheld during the evaluation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and selection procedures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joint call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6. Each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beneficiary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and, where applicable, each third party identified in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 article]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 shall ensure that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the grants to the legal entities involved in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trans-national projects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>a) are subject to the principles of transparency and equal treatment;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>b) are not cumulative, involve co-financing and are not awarded retrospectively;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>c) do not have the purpose or effect of producing a profit for the legal entities involved in the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trans-national projects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7. Each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beneficiary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and, where applicable, each third party identified in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 article]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 shall carry out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effective verifications according to their relevant funding rules of the eligible costs incurred by the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legal entities involved in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trans-national 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before any reimbursement and shall carry out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audits according to their national rules. They shall, for each reporting period, submit to the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coordinator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a signed declaration stating the amounts of the grants that have been paid and that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eligible costs have been reimbursed after verification of their compliance with the relevant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national funding rules. They shall also keep at the disposal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coordinator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, of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Commission</w:t>
      </w:r>
      <w:r w:rsidR="00E725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(including OLAF) and of the Court of Auditors, the agreement signed with the legal entities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involved in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trans-national 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and all necessary information and documents on the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national funding rules and on the system of verification, including relevant audits carried out on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the legal entities involved in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trans-national projects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8. Each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beneficiary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take appropriate measures to protect funds of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Union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, in particular to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prevent irregularities, fraud or any other illegal activity.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Commission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may request the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beneficiaries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to carry out audits on the legal entities involved in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trans-national projects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of suspicion of fraud or irregularity.</w:t>
      </w:r>
    </w:p>
    <w:p w:rsid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III.8 – Financial audits and controls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beneficiary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ensure that the provisions of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 article]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) apply also to the legal entities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involved in the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trans-national projects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6657" w:rsidRPr="00DB6657" w:rsidRDefault="00DB6657" w:rsidP="00E72530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beneficiary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shall ensure that the conditions applicable to it under paragraphs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[number]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[number]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[number]</w:t>
      </w:r>
      <w:r w:rsidR="00E72530"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[number]</w:t>
      </w:r>
      <w:r w:rsidR="00E72530"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72530" w:rsidRP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>[number article]</w:t>
      </w:r>
      <w:r w:rsidR="00E72530">
        <w:rPr>
          <w:rFonts w:ascii="Times New Roman" w:hAnsi="Times New Roman" w:cs="Times New Roman"/>
          <w:color w:val="FF00FF"/>
          <w:sz w:val="24"/>
          <w:szCs w:val="24"/>
          <w:lang w:val="en-US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 xml:space="preserve">are also applicable, </w:t>
      </w:r>
      <w:r w:rsidRPr="00DB6657">
        <w:rPr>
          <w:rFonts w:ascii="Times New Roman" w:hAnsi="Times New Roman" w:cs="Times New Roman"/>
          <w:i/>
          <w:iCs/>
          <w:sz w:val="24"/>
          <w:szCs w:val="24"/>
          <w:lang w:val="en-US"/>
        </w:rPr>
        <w:t>mutatis mutandis</w:t>
      </w:r>
      <w:r w:rsidRPr="00DB6657">
        <w:rPr>
          <w:rFonts w:ascii="Times New Roman" w:hAnsi="Times New Roman" w:cs="Times New Roman"/>
          <w:sz w:val="24"/>
          <w:szCs w:val="24"/>
          <w:lang w:val="en-US"/>
        </w:rPr>
        <w:t>, to the legal entities involved in the</w:t>
      </w:r>
      <w:r w:rsidR="00E72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530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transnational projects</w:t>
      </w:r>
      <w:r w:rsidRPr="00E725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B6657" w:rsidRPr="00DB6657" w:rsidSect="00E02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6657"/>
    <w:rsid w:val="005074DC"/>
    <w:rsid w:val="00D151F7"/>
    <w:rsid w:val="00DB6657"/>
    <w:rsid w:val="00E02670"/>
    <w:rsid w:val="00E7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dcterms:created xsi:type="dcterms:W3CDTF">2013-09-04T14:35:00Z</dcterms:created>
  <dcterms:modified xsi:type="dcterms:W3CDTF">2013-09-04T15:00:00Z</dcterms:modified>
</cp:coreProperties>
</file>